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4F5" w:rsidRDefault="00112E45">
      <w:pPr>
        <w:spacing w:after="361" w:line="259" w:lineRule="auto"/>
        <w:ind w:left="4452" w:right="0" w:firstLine="0"/>
        <w:jc w:val="left"/>
      </w:pPr>
      <w:r>
        <w:rPr>
          <w:noProof/>
        </w:rPr>
        <w:drawing>
          <wp:inline distT="0" distB="0" distL="0" distR="0">
            <wp:extent cx="466851" cy="561848"/>
            <wp:effectExtent l="0" t="0" r="0" b="0"/>
            <wp:docPr id="580" name="Picture 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Picture 5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851" cy="56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B34" w:rsidRDefault="00112E45" w:rsidP="00310B34">
      <w:pPr>
        <w:spacing w:after="0" w:line="250" w:lineRule="auto"/>
        <w:ind w:left="0" w:right="0" w:firstLine="0"/>
        <w:jc w:val="center"/>
      </w:pPr>
      <w:r>
        <w:t>АДМИНИСТРАЦИЯ ГОРОДА НОРИЛЬСКА</w:t>
      </w:r>
    </w:p>
    <w:p w:rsidR="002124F5" w:rsidRDefault="00112E45" w:rsidP="002C36F5">
      <w:pPr>
        <w:spacing w:after="0" w:line="250" w:lineRule="auto"/>
        <w:ind w:left="0" w:right="0" w:firstLine="0"/>
        <w:jc w:val="center"/>
      </w:pPr>
      <w:r>
        <w:t>КРАСНОЯРСКОГО КРАЯ</w:t>
      </w:r>
    </w:p>
    <w:p w:rsidR="002C36F5" w:rsidRDefault="002C36F5" w:rsidP="002C36F5">
      <w:pPr>
        <w:spacing w:after="0" w:line="259" w:lineRule="auto"/>
        <w:ind w:left="0" w:right="0" w:firstLine="0"/>
        <w:jc w:val="center"/>
        <w:rPr>
          <w:b/>
        </w:rPr>
      </w:pPr>
    </w:p>
    <w:p w:rsidR="002124F5" w:rsidRDefault="00112E45" w:rsidP="002C36F5">
      <w:pPr>
        <w:spacing w:after="0" w:line="259" w:lineRule="auto"/>
        <w:ind w:left="0" w:right="0" w:firstLine="0"/>
        <w:jc w:val="center"/>
        <w:rPr>
          <w:b/>
        </w:rPr>
      </w:pPr>
      <w:r>
        <w:rPr>
          <w:b/>
        </w:rPr>
        <w:t>ПОСТАНОВЛЕНИЕ</w:t>
      </w:r>
    </w:p>
    <w:p w:rsidR="002C36F5" w:rsidRDefault="002C36F5" w:rsidP="002C36F5">
      <w:pPr>
        <w:spacing w:after="0" w:line="259" w:lineRule="auto"/>
        <w:ind w:left="0" w:right="0" w:firstLine="0"/>
        <w:jc w:val="center"/>
      </w:pPr>
    </w:p>
    <w:p w:rsidR="002124F5" w:rsidRDefault="00112E45" w:rsidP="002C36F5">
      <w:pPr>
        <w:spacing w:after="0" w:line="259" w:lineRule="auto"/>
        <w:ind w:left="0" w:right="0" w:firstLine="0"/>
        <w:jc w:val="left"/>
      </w:pPr>
      <w:r>
        <w:t>______________ 2024                            г. Норильск                                     № _________</w:t>
      </w:r>
    </w:p>
    <w:p w:rsidR="002124F5" w:rsidRDefault="00112E45" w:rsidP="002C36F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124F5" w:rsidRDefault="00112E45" w:rsidP="00310B34">
      <w:pPr>
        <w:spacing w:after="288" w:line="240" w:lineRule="auto"/>
        <w:ind w:left="-15" w:right="0" w:firstLine="0"/>
      </w:pPr>
      <w:r>
        <w:t>О внесении изменений в постановление Админис</w:t>
      </w:r>
      <w:r w:rsidR="00D651E1">
        <w:t xml:space="preserve">трации города Норильска </w:t>
      </w:r>
      <w:r>
        <w:t>от 21.02.2020 № 82</w:t>
      </w:r>
    </w:p>
    <w:p w:rsidR="002124F5" w:rsidRDefault="00112E45" w:rsidP="00F04774">
      <w:pPr>
        <w:spacing w:line="240" w:lineRule="auto"/>
        <w:ind w:left="-15" w:right="140" w:firstLine="709"/>
      </w:pPr>
      <w:r>
        <w:t>В целях приведения в соответствие с Постановлением Правительства РФ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</w:t>
      </w:r>
    </w:p>
    <w:p w:rsidR="002124F5" w:rsidRDefault="00112E45" w:rsidP="00310B34">
      <w:pPr>
        <w:spacing w:after="284" w:line="240" w:lineRule="auto"/>
        <w:ind w:left="-15" w:right="0" w:firstLine="0"/>
      </w:pPr>
      <w:r>
        <w:t>ПОСТАНОВЛЯЮ:</w:t>
      </w:r>
    </w:p>
    <w:p w:rsidR="002124F5" w:rsidRDefault="00310B34" w:rsidP="00F829BD">
      <w:pPr>
        <w:spacing w:line="240" w:lineRule="auto"/>
        <w:ind w:left="0" w:right="0" w:firstLine="539"/>
      </w:pPr>
      <w:r>
        <w:t xml:space="preserve">1. </w:t>
      </w:r>
      <w:r w:rsidR="00112E45">
        <w:t xml:space="preserve">Внести в постановление Администрации города Норильска от 21.02.2020 № 82 «Об утверждении Порядка предоставления субсидии некоммерческой организации «Фонд социальной защиты населения и развития территории Норильского промышленного района» на обеспечение реализации проекта «Телефон доверия» (далее – Постановление) следующее изменение: </w:t>
      </w:r>
    </w:p>
    <w:p w:rsidR="002124F5" w:rsidRDefault="00310B34" w:rsidP="00310B34">
      <w:pPr>
        <w:spacing w:line="240" w:lineRule="auto"/>
        <w:ind w:left="0" w:right="0" w:firstLine="515"/>
      </w:pPr>
      <w:r>
        <w:t xml:space="preserve">1.1. </w:t>
      </w:r>
      <w:r w:rsidR="00112E45">
        <w:t>Преамбулу Постановления изложить в следующей редакции:</w:t>
      </w:r>
    </w:p>
    <w:p w:rsidR="002124F5" w:rsidRDefault="00112E45" w:rsidP="00310B34">
      <w:pPr>
        <w:spacing w:line="240" w:lineRule="auto"/>
        <w:ind w:left="-15" w:right="0"/>
      </w:pPr>
      <w:r>
        <w:t>«Руководствуясь ст. 78.1 Бюджетного кодекса РФ,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</w:t>
      </w:r>
      <w:r>
        <w:rPr>
          <w:sz w:val="24"/>
        </w:rPr>
        <w:t xml:space="preserve"> </w:t>
      </w:r>
      <w:r>
        <w:t>Постановлением Правительства РФ от 25.10.2023        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Уставом городского округа город Норильск Красноярского края</w:t>
      </w:r>
      <w:r w:rsidR="00C9558D">
        <w:t>, ПОСТАНОВЛЯЮ:</w:t>
      </w:r>
      <w:r>
        <w:t xml:space="preserve">». </w:t>
      </w:r>
    </w:p>
    <w:p w:rsidR="002124F5" w:rsidRDefault="00310B34" w:rsidP="00310B34">
      <w:pPr>
        <w:spacing w:after="0" w:line="240" w:lineRule="auto"/>
        <w:ind w:left="0" w:right="0" w:firstLine="515"/>
      </w:pPr>
      <w:r>
        <w:t xml:space="preserve">2. </w:t>
      </w:r>
      <w:r w:rsidR="00112E45">
        <w:t>Внести в Порядок предоставления субсидии некоммерческой организации «Фонд социальной защиты населения и развития территории Норильского промышленного района» на обеспечение реализации проекта «Телефон доверия», утвержденный Постановлением (далее – Порядок), следующие изменения:</w:t>
      </w:r>
    </w:p>
    <w:p w:rsidR="002124F5" w:rsidRDefault="00310B34" w:rsidP="00310B34">
      <w:pPr>
        <w:spacing w:line="240" w:lineRule="auto"/>
        <w:ind w:left="0" w:right="0" w:firstLine="515"/>
      </w:pPr>
      <w:r>
        <w:t xml:space="preserve">2.1. </w:t>
      </w:r>
      <w:r w:rsidR="00112E45">
        <w:t xml:space="preserve">По всему тексту Порядка слово «Договор» в соответствующих падежах заменить словом «Соглашение» в соответствующих падежах. </w:t>
      </w:r>
    </w:p>
    <w:p w:rsidR="002124F5" w:rsidRDefault="00310B34" w:rsidP="00310B34">
      <w:pPr>
        <w:spacing w:line="240" w:lineRule="auto"/>
        <w:ind w:left="0" w:right="0" w:firstLine="515"/>
      </w:pPr>
      <w:r>
        <w:t xml:space="preserve">2.2. </w:t>
      </w:r>
      <w:r w:rsidR="00112E45">
        <w:t xml:space="preserve">Пункт 1.2 Порядка изложить в следующей редакции: </w:t>
      </w:r>
    </w:p>
    <w:p w:rsidR="002124F5" w:rsidRDefault="00112E45" w:rsidP="00310B34">
      <w:pPr>
        <w:spacing w:line="240" w:lineRule="auto"/>
        <w:ind w:left="-15" w:right="0"/>
      </w:pPr>
      <w:r>
        <w:t xml:space="preserve">«1.2. Субсидия предоставляется Фонду в целях финансового обеспечения затрат на реализацию проекта «Телефон доверия» в соответствии с муниципальной </w:t>
      </w:r>
      <w:r>
        <w:lastRenderedPageBreak/>
        <w:t>программой «Молодежь муниципального образования город Норильск в XXI веке», утвержденной постановлением Администрации города Норильска (далее – проект «Телефон доверия»</w:t>
      </w:r>
      <w:r w:rsidR="00C53E89">
        <w:t>)</w:t>
      </w:r>
      <w:r>
        <w:t>.».</w:t>
      </w:r>
    </w:p>
    <w:p w:rsidR="002124F5" w:rsidRDefault="00310B34" w:rsidP="00310B34">
      <w:pPr>
        <w:spacing w:line="240" w:lineRule="auto"/>
        <w:ind w:left="0" w:right="0" w:firstLine="515"/>
      </w:pPr>
      <w:r>
        <w:t xml:space="preserve">2.3. </w:t>
      </w:r>
      <w:r w:rsidR="00112E45">
        <w:t>Пункт 1.4 Порядка изложить в следующей редакции:</w:t>
      </w:r>
    </w:p>
    <w:p w:rsidR="002124F5" w:rsidRDefault="00112E45" w:rsidP="00310B34">
      <w:pPr>
        <w:spacing w:line="240" w:lineRule="auto"/>
        <w:ind w:left="-15" w:right="0"/>
      </w:pPr>
      <w:r>
        <w:t>«1.4. Сведения о субсидии размещаются на едином портале бюджетной системы Российской Федерации в информационно-телекоммуникационной сети «Интернет» (в разделе единого портала) в порядке, установленном Министерством финансов Российской Федерации.».</w:t>
      </w:r>
    </w:p>
    <w:p w:rsidR="002124F5" w:rsidRDefault="00310B34" w:rsidP="00310B34">
      <w:pPr>
        <w:spacing w:line="240" w:lineRule="auto"/>
        <w:ind w:left="0" w:right="0" w:firstLine="515"/>
      </w:pPr>
      <w:r>
        <w:t xml:space="preserve">2.4. </w:t>
      </w:r>
      <w:r w:rsidR="00112E45">
        <w:t xml:space="preserve">В пункте 2.1 Порядка слова «и Фондом» заменить словами «и Фондом (далее – Соглашение)». </w:t>
      </w:r>
    </w:p>
    <w:p w:rsidR="002124F5" w:rsidRDefault="00310B34" w:rsidP="00310B34">
      <w:pPr>
        <w:spacing w:line="240" w:lineRule="auto"/>
        <w:ind w:left="0" w:right="0" w:firstLine="515"/>
      </w:pPr>
      <w:r>
        <w:t xml:space="preserve">2.5. </w:t>
      </w:r>
      <w:r w:rsidR="00112E45">
        <w:t>Пункт 2.2 Порядка изложить в следующей редакции:</w:t>
      </w:r>
    </w:p>
    <w:p w:rsidR="002124F5" w:rsidRDefault="00112E45" w:rsidP="00310B34">
      <w:pPr>
        <w:spacing w:line="240" w:lineRule="auto"/>
        <w:ind w:left="-15" w:right="0"/>
      </w:pPr>
      <w:r>
        <w:t>«2.2. Фонд на первое число месяца, предшествующего месяцу, в котором планируется заключение Соглашения (за исключением сведений, указанных в абзаце седьмом настоящего пункта, предоставляемых на дату выдачи территориальным органом Федеральной налоговой службы, выданную н</w:t>
      </w:r>
      <w:r w:rsidR="00E1228D">
        <w:t>е</w:t>
      </w:r>
      <w:r>
        <w:t xml:space="preserve"> позднее чем за месяц до даты предоставления Фондом справки Уполномоченному органу для заключения Соглашения), должен соответствовать следующим требованиям:</w:t>
      </w:r>
    </w:p>
    <w:p w:rsidR="002124F5" w:rsidRDefault="00112E45" w:rsidP="00310B34">
      <w:pPr>
        <w:numPr>
          <w:ilvl w:val="0"/>
          <w:numId w:val="2"/>
        </w:numPr>
        <w:spacing w:line="240" w:lineRule="auto"/>
        <w:ind w:right="0"/>
      </w:pPr>
      <w:r>
        <w:t>Фонд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2124F5" w:rsidRDefault="00112E45" w:rsidP="00310B34">
      <w:pPr>
        <w:numPr>
          <w:ilvl w:val="0"/>
          <w:numId w:val="2"/>
        </w:numPr>
        <w:spacing w:line="240" w:lineRule="auto"/>
        <w:ind w:right="0"/>
      </w:pPr>
      <w:r>
        <w:t>Фонд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124F5" w:rsidRDefault="00112E45" w:rsidP="00310B34">
      <w:pPr>
        <w:numPr>
          <w:ilvl w:val="0"/>
          <w:numId w:val="2"/>
        </w:numPr>
        <w:spacing w:line="240" w:lineRule="auto"/>
        <w:ind w:right="0"/>
      </w:pPr>
      <w:r>
        <w:t xml:space="preserve">Фонд не находится в составляемых в рамках реализации полномочий, предусмотренных </w:t>
      </w:r>
      <w:hyperlink r:id="rId8">
        <w:r>
          <w:t>главой</w:t>
        </w:r>
      </w:hyperlink>
      <w:hyperlink r:id="rId9">
        <w:r>
          <w:t xml:space="preserve">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124F5" w:rsidRDefault="00112E45" w:rsidP="00310B34">
      <w:pPr>
        <w:numPr>
          <w:ilvl w:val="0"/>
          <w:numId w:val="2"/>
        </w:numPr>
        <w:spacing w:line="240" w:lineRule="auto"/>
        <w:ind w:right="0"/>
      </w:pPr>
      <w:r>
        <w:t>Фонд не получает средства из местного бюджета,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в пункте 1.2 настоящего Порядка;</w:t>
      </w:r>
    </w:p>
    <w:p w:rsidR="002124F5" w:rsidRDefault="00112E45" w:rsidP="00310B34">
      <w:pPr>
        <w:numPr>
          <w:ilvl w:val="0"/>
          <w:numId w:val="2"/>
        </w:numPr>
        <w:spacing w:after="0" w:line="240" w:lineRule="auto"/>
        <w:ind w:right="0"/>
      </w:pPr>
      <w:r>
        <w:t xml:space="preserve">Фонд не является иностранным агентом в соответствии с Федеральным законом </w:t>
      </w:r>
    </w:p>
    <w:p w:rsidR="002124F5" w:rsidRDefault="00112E45" w:rsidP="00310B34">
      <w:pPr>
        <w:spacing w:line="240" w:lineRule="auto"/>
        <w:ind w:left="-15" w:right="0" w:firstLine="0"/>
      </w:pPr>
      <w:r>
        <w:t>«О контроле за деятельностью лиц, находящихся под иностранным влиянием»;</w:t>
      </w:r>
    </w:p>
    <w:p w:rsidR="002124F5" w:rsidRDefault="00112E45" w:rsidP="00310B34">
      <w:pPr>
        <w:numPr>
          <w:ilvl w:val="0"/>
          <w:numId w:val="2"/>
        </w:numPr>
        <w:spacing w:line="240" w:lineRule="auto"/>
        <w:ind w:right="0"/>
      </w:pPr>
      <w:r>
        <w:t>у Фонда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2124F5" w:rsidRDefault="00112E45" w:rsidP="00310B34">
      <w:pPr>
        <w:numPr>
          <w:ilvl w:val="0"/>
          <w:numId w:val="2"/>
        </w:numPr>
        <w:spacing w:line="240" w:lineRule="auto"/>
        <w:ind w:right="0"/>
      </w:pPr>
      <w:r>
        <w:lastRenderedPageBreak/>
        <w:t>у Фонда отсутствуют просроченная задолженность по возврату в местный бюджет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город Норильск;</w:t>
      </w:r>
    </w:p>
    <w:p w:rsidR="002124F5" w:rsidRDefault="00112E45" w:rsidP="00310B34">
      <w:pPr>
        <w:numPr>
          <w:ilvl w:val="0"/>
          <w:numId w:val="2"/>
        </w:numPr>
        <w:spacing w:line="240" w:lineRule="auto"/>
        <w:ind w:right="0"/>
      </w:pPr>
      <w:r>
        <w:t>Фонд, являющийся юридическим лицом, не находится в процессе реорганизации (за исключением реорганизации в форме присоединения к Фонду, другого юридического лица), ликвидации, в отношении его не введена процедура банкротства, деятельность Фонда не приостановлена в порядке, предусмотренном законодательством Российской Федерации.».</w:t>
      </w:r>
    </w:p>
    <w:p w:rsidR="007F056E" w:rsidRDefault="00112E45" w:rsidP="007F056E">
      <w:pPr>
        <w:spacing w:line="240" w:lineRule="auto"/>
        <w:ind w:left="0" w:right="0" w:firstLine="515"/>
      </w:pPr>
      <w:r>
        <w:t>2.6.</w:t>
      </w:r>
      <w:r w:rsidR="00684F7C">
        <w:t xml:space="preserve"> П</w:t>
      </w:r>
      <w:r>
        <w:t xml:space="preserve">ункт 2.3 </w:t>
      </w:r>
      <w:r w:rsidR="007F056E">
        <w:t>Порядка изложить в следующей редакции:</w:t>
      </w:r>
    </w:p>
    <w:p w:rsidR="007F056E" w:rsidRPr="007F056E" w:rsidRDefault="007F056E" w:rsidP="007F056E">
      <w:pPr>
        <w:autoSpaceDE w:val="0"/>
        <w:autoSpaceDN w:val="0"/>
        <w:adjustRightInd w:val="0"/>
        <w:spacing w:after="0" w:line="240" w:lineRule="auto"/>
        <w:ind w:left="0" w:right="0" w:firstLine="567"/>
        <w:rPr>
          <w:bCs/>
          <w:color w:val="auto"/>
          <w:szCs w:val="26"/>
        </w:rPr>
      </w:pPr>
      <w:r w:rsidRPr="007F056E">
        <w:rPr>
          <w:bCs/>
          <w:color w:val="auto"/>
          <w:szCs w:val="26"/>
        </w:rPr>
        <w:t>«2.3. Для заключения Соглашения Фонд предоставляет в Управление по взаимодействию с общественными организациями и молодежной политике Администрации города Норильска (далее - Управление) следующие документы:</w:t>
      </w:r>
    </w:p>
    <w:p w:rsidR="007F056E" w:rsidRPr="007F056E" w:rsidRDefault="007F056E" w:rsidP="007F05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bCs/>
          <w:color w:val="auto"/>
          <w:szCs w:val="26"/>
        </w:rPr>
      </w:pPr>
      <w:r w:rsidRPr="007F056E">
        <w:rPr>
          <w:bCs/>
          <w:color w:val="auto"/>
          <w:szCs w:val="26"/>
        </w:rPr>
        <w:t>а) Устав Фонда;</w:t>
      </w:r>
    </w:p>
    <w:p w:rsidR="007F056E" w:rsidRPr="007F056E" w:rsidRDefault="007F056E" w:rsidP="007F05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bCs/>
          <w:color w:val="auto"/>
          <w:szCs w:val="26"/>
        </w:rPr>
      </w:pPr>
      <w:r w:rsidRPr="007F056E">
        <w:rPr>
          <w:bCs/>
          <w:color w:val="auto"/>
          <w:szCs w:val="26"/>
        </w:rPr>
        <w:t>б) свидетельство о постановке на учет Фонда в налоговом органе по месту его нахождения;</w:t>
      </w:r>
    </w:p>
    <w:p w:rsidR="007F056E" w:rsidRPr="007F056E" w:rsidRDefault="007F056E" w:rsidP="007F05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bCs/>
          <w:color w:val="auto"/>
          <w:szCs w:val="26"/>
        </w:rPr>
      </w:pPr>
      <w:r w:rsidRPr="007F056E">
        <w:rPr>
          <w:bCs/>
          <w:color w:val="auto"/>
          <w:szCs w:val="26"/>
        </w:rPr>
        <w:t>в) свидетельство о государственной регистрации Фонда;</w:t>
      </w:r>
    </w:p>
    <w:p w:rsidR="007F056E" w:rsidRPr="007F056E" w:rsidRDefault="007F056E" w:rsidP="007F05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bCs/>
          <w:color w:val="auto"/>
          <w:szCs w:val="26"/>
        </w:rPr>
      </w:pPr>
      <w:r w:rsidRPr="007F056E">
        <w:rPr>
          <w:bCs/>
          <w:color w:val="auto"/>
          <w:szCs w:val="26"/>
        </w:rPr>
        <w:t>г) документ, подтверждающий полномочия директора Фонда;</w:t>
      </w:r>
    </w:p>
    <w:p w:rsidR="007F056E" w:rsidRPr="007F056E" w:rsidRDefault="007F056E" w:rsidP="007F05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bCs/>
          <w:color w:val="auto"/>
          <w:szCs w:val="26"/>
        </w:rPr>
      </w:pPr>
      <w:r w:rsidRPr="007F056E">
        <w:rPr>
          <w:bCs/>
          <w:color w:val="auto"/>
          <w:szCs w:val="26"/>
        </w:rPr>
        <w:t>д) выписку из Единого государственного реестра юридических лиц;</w:t>
      </w:r>
    </w:p>
    <w:p w:rsidR="007F056E" w:rsidRPr="007F056E" w:rsidRDefault="007F056E" w:rsidP="007F05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bCs/>
          <w:color w:val="auto"/>
          <w:szCs w:val="26"/>
        </w:rPr>
      </w:pPr>
      <w:r w:rsidRPr="007F056E">
        <w:rPr>
          <w:bCs/>
          <w:color w:val="auto"/>
          <w:szCs w:val="26"/>
        </w:rPr>
        <w:t>е) справку территориального органа Федеральной налоговой службы об исполнении Фондом обязанности по уплате налогов, сборов, страховых взносов, пеней, штрафов, процентов;</w:t>
      </w:r>
    </w:p>
    <w:p w:rsidR="007F056E" w:rsidRPr="007F056E" w:rsidRDefault="007F056E" w:rsidP="007F05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bCs/>
          <w:color w:val="auto"/>
          <w:szCs w:val="26"/>
        </w:rPr>
      </w:pPr>
      <w:r w:rsidRPr="007F056E">
        <w:rPr>
          <w:bCs/>
          <w:color w:val="auto"/>
          <w:szCs w:val="26"/>
        </w:rPr>
        <w:t>ж) справку, подписанную руководителем и главным бухгалтером и заверенную печатью Фонда, о наличии (отсутствии)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муниципальным образованием город Норильск (составляется в произвольной форме);</w:t>
      </w:r>
    </w:p>
    <w:p w:rsidR="007F056E" w:rsidRPr="007F056E" w:rsidRDefault="007F056E" w:rsidP="007F05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bCs/>
          <w:color w:val="auto"/>
          <w:szCs w:val="26"/>
        </w:rPr>
      </w:pPr>
      <w:r w:rsidRPr="007F056E">
        <w:rPr>
          <w:bCs/>
          <w:color w:val="auto"/>
          <w:szCs w:val="26"/>
        </w:rPr>
        <w:t>з) справку, подписанную руководителем Фонда, о том, что Фонд является (не является) иностранным юридическим лицом, в том числе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(составляется Фондом в произвольной форме);</w:t>
      </w:r>
    </w:p>
    <w:p w:rsidR="007F056E" w:rsidRPr="007F056E" w:rsidRDefault="007F056E" w:rsidP="007F05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bCs/>
          <w:color w:val="auto"/>
          <w:szCs w:val="26"/>
        </w:rPr>
      </w:pPr>
      <w:r w:rsidRPr="007F056E">
        <w:rPr>
          <w:bCs/>
          <w:color w:val="auto"/>
          <w:szCs w:val="26"/>
        </w:rPr>
        <w:t xml:space="preserve">и) </w:t>
      </w:r>
      <w:r w:rsidRPr="007F056E">
        <w:rPr>
          <w:szCs w:val="26"/>
        </w:rPr>
        <w:t>справку, подписанную руководителем Фонда, подтверждающую, что Фонд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 (составляется Фондом в произвольной форме);</w:t>
      </w:r>
    </w:p>
    <w:p w:rsidR="007F056E" w:rsidRPr="007F056E" w:rsidRDefault="007F056E" w:rsidP="007F056E">
      <w:pPr>
        <w:spacing w:line="240" w:lineRule="auto"/>
        <w:ind w:left="-15" w:right="0" w:firstLine="567"/>
        <w:rPr>
          <w:szCs w:val="26"/>
        </w:rPr>
      </w:pPr>
      <w:r w:rsidRPr="007F056E">
        <w:rPr>
          <w:szCs w:val="26"/>
        </w:rPr>
        <w:t>к) справку, подписанную руководителем Фонда, подтверждающую, что Фонд не находится в составляемых в рамках реализации полномочий, предусмотренных</w:t>
      </w:r>
      <w:hyperlink r:id="rId10">
        <w:r w:rsidRPr="007F056E">
          <w:rPr>
            <w:szCs w:val="26"/>
          </w:rPr>
          <w:t xml:space="preserve"> </w:t>
        </w:r>
      </w:hyperlink>
      <w:hyperlink r:id="rId11">
        <w:r w:rsidRPr="007F056E">
          <w:rPr>
            <w:szCs w:val="26"/>
          </w:rPr>
          <w:t>главой</w:t>
        </w:r>
      </w:hyperlink>
      <w:hyperlink r:id="rId12">
        <w:r w:rsidRPr="007F056E">
          <w:rPr>
            <w:szCs w:val="26"/>
          </w:rPr>
          <w:t xml:space="preserve"> </w:t>
        </w:r>
      </w:hyperlink>
      <w:hyperlink r:id="rId13">
        <w:r w:rsidRPr="007F056E">
          <w:rPr>
            <w:szCs w:val="26"/>
          </w:rPr>
          <w:t xml:space="preserve">VII </w:t>
        </w:r>
      </w:hyperlink>
      <w:r w:rsidRPr="007F056E">
        <w:rPr>
          <w:szCs w:val="26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(составляется Фондом в произвольной форме);</w:t>
      </w:r>
    </w:p>
    <w:p w:rsidR="007F056E" w:rsidRPr="007F056E" w:rsidRDefault="007F056E" w:rsidP="007F05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bCs/>
          <w:strike/>
          <w:color w:val="auto"/>
          <w:szCs w:val="26"/>
        </w:rPr>
      </w:pPr>
      <w:r w:rsidRPr="007F056E">
        <w:rPr>
          <w:szCs w:val="26"/>
        </w:rPr>
        <w:t>л) справку, подписанную руководителем Фонда, подтверждающую, что Фонд не является иностранным агентом в соответствии с Федеральным законом «О контроле за деятельностью лиц, находящихся под иностранным влиянием (составляется Фондом в произвольной форме).</w:t>
      </w:r>
    </w:p>
    <w:p w:rsidR="007F056E" w:rsidRPr="007F056E" w:rsidRDefault="007F056E" w:rsidP="007F05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bCs/>
          <w:color w:val="auto"/>
          <w:szCs w:val="26"/>
        </w:rPr>
      </w:pPr>
      <w:r w:rsidRPr="007F056E">
        <w:rPr>
          <w:bCs/>
          <w:color w:val="auto"/>
          <w:szCs w:val="26"/>
        </w:rPr>
        <w:t xml:space="preserve">Документы, предусмотренные подпунктами «д» - «л» настоящего пункта, представляются по состоянию на первое число месяца, предшествующего месяцу, в </w:t>
      </w:r>
      <w:r w:rsidRPr="007F056E">
        <w:rPr>
          <w:bCs/>
          <w:color w:val="auto"/>
          <w:szCs w:val="26"/>
        </w:rPr>
        <w:lastRenderedPageBreak/>
        <w:t xml:space="preserve">котором планируется заключение </w:t>
      </w:r>
      <w:r w:rsidR="00684F7C">
        <w:rPr>
          <w:bCs/>
          <w:color w:val="auto"/>
          <w:szCs w:val="26"/>
        </w:rPr>
        <w:t>Соглашения</w:t>
      </w:r>
      <w:r w:rsidRPr="007F056E">
        <w:rPr>
          <w:szCs w:val="26"/>
        </w:rPr>
        <w:t xml:space="preserve"> (за исключением сведений, указанных в абзаце втором настоящего пункта, предоставляемых на дату выдачи территориальным органом Федеральной налоговой службы, выданную не позднее чем за месяц до даты предоставления)</w:t>
      </w:r>
      <w:r w:rsidRPr="007F056E">
        <w:rPr>
          <w:bCs/>
          <w:color w:val="auto"/>
          <w:szCs w:val="26"/>
        </w:rPr>
        <w:t>.</w:t>
      </w:r>
    </w:p>
    <w:p w:rsidR="007F056E" w:rsidRPr="007F056E" w:rsidRDefault="007F056E" w:rsidP="007F05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bCs/>
          <w:color w:val="auto"/>
          <w:szCs w:val="26"/>
        </w:rPr>
      </w:pPr>
      <w:r w:rsidRPr="007F056E">
        <w:rPr>
          <w:bCs/>
          <w:color w:val="auto"/>
          <w:szCs w:val="26"/>
        </w:rPr>
        <w:t>Копии документов, перечисленных в настоящем пункте, должны быть заверены руководителем Фонда.</w:t>
      </w:r>
    </w:p>
    <w:p w:rsidR="007F056E" w:rsidRPr="007F056E" w:rsidRDefault="007F056E" w:rsidP="007F05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bCs/>
          <w:color w:val="auto"/>
          <w:szCs w:val="26"/>
        </w:rPr>
      </w:pPr>
      <w:r w:rsidRPr="007F056E">
        <w:rPr>
          <w:bCs/>
          <w:color w:val="auto"/>
          <w:szCs w:val="26"/>
        </w:rPr>
        <w:t>Документы, предусмотренные настоящим пунктом, представляются на бумажном носителе и должны быть прошиты, пронумерованы и скреплены подписью руководителя и печатью Фонда с указанием общего количества листов.</w:t>
      </w:r>
    </w:p>
    <w:p w:rsidR="007F056E" w:rsidRPr="007F056E" w:rsidRDefault="007F056E" w:rsidP="007F05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bCs/>
          <w:color w:val="auto"/>
          <w:szCs w:val="26"/>
        </w:rPr>
      </w:pPr>
      <w:r w:rsidRPr="007F056E">
        <w:rPr>
          <w:bCs/>
          <w:color w:val="auto"/>
          <w:szCs w:val="26"/>
        </w:rPr>
        <w:t>Фонд несет ответственность за достоверность представляемых сведений в соответствии с действующим законодательством Российской Федерации.</w:t>
      </w:r>
      <w:r w:rsidR="001C473F">
        <w:rPr>
          <w:bCs/>
          <w:color w:val="auto"/>
          <w:szCs w:val="26"/>
        </w:rPr>
        <w:t xml:space="preserve">». </w:t>
      </w:r>
    </w:p>
    <w:p w:rsidR="002124F5" w:rsidRDefault="00112E45" w:rsidP="00310B34">
      <w:pPr>
        <w:spacing w:line="240" w:lineRule="auto"/>
        <w:ind w:left="-15" w:right="0"/>
      </w:pPr>
      <w:r>
        <w:t xml:space="preserve">2.7. В пункте 2.4 Порядка слова «Уполномоченный орган» в соответствующих падежах заменить словом «Управление» в соответствующих падежах. </w:t>
      </w:r>
    </w:p>
    <w:p w:rsidR="002124F5" w:rsidRDefault="00112E45" w:rsidP="00310B34">
      <w:pPr>
        <w:spacing w:line="240" w:lineRule="auto"/>
        <w:ind w:left="539" w:right="0" w:firstLine="0"/>
      </w:pPr>
      <w:r>
        <w:t>2.8. Пункт 2.5 Порядка изложить в следующей редакции:</w:t>
      </w:r>
    </w:p>
    <w:p w:rsidR="002124F5" w:rsidRDefault="00112E45" w:rsidP="00310B34">
      <w:pPr>
        <w:spacing w:line="240" w:lineRule="auto"/>
        <w:ind w:left="539" w:right="0" w:firstLine="0"/>
      </w:pPr>
      <w:r>
        <w:t>«2.5. Основаниями для отказа в предоставлении субсидии являются:</w:t>
      </w:r>
    </w:p>
    <w:p w:rsidR="002124F5" w:rsidRDefault="00112E45" w:rsidP="00310B34">
      <w:pPr>
        <w:numPr>
          <w:ilvl w:val="0"/>
          <w:numId w:val="4"/>
        </w:numPr>
        <w:spacing w:line="240" w:lineRule="auto"/>
        <w:ind w:right="0"/>
      </w:pPr>
      <w:r>
        <w:t>несоответствие представленных Фондом документов требованиям, определенным пунктом 2.3 настоящего Порядка, или непредставление (представление не в полном объеме) указанных документов;</w:t>
      </w:r>
    </w:p>
    <w:p w:rsidR="002124F5" w:rsidRDefault="00112E45" w:rsidP="00310B34">
      <w:pPr>
        <w:numPr>
          <w:ilvl w:val="0"/>
          <w:numId w:val="4"/>
        </w:numPr>
        <w:spacing w:after="0" w:line="240" w:lineRule="auto"/>
        <w:ind w:right="0"/>
      </w:pPr>
      <w:r>
        <w:t>установление факта недостоверности представленной Фондом информации;</w:t>
      </w:r>
    </w:p>
    <w:p w:rsidR="002124F5" w:rsidRDefault="00112E45" w:rsidP="00310B34">
      <w:pPr>
        <w:numPr>
          <w:ilvl w:val="0"/>
          <w:numId w:val="4"/>
        </w:numPr>
        <w:spacing w:line="240" w:lineRule="auto"/>
        <w:ind w:right="0"/>
      </w:pPr>
      <w:r>
        <w:t>несоответствие Фонда требованиям, предусмотренным пунктом 2.2 настоящего Порядка.».</w:t>
      </w:r>
    </w:p>
    <w:p w:rsidR="002124F5" w:rsidRDefault="00112E45" w:rsidP="00310B34">
      <w:pPr>
        <w:spacing w:line="240" w:lineRule="auto"/>
        <w:ind w:left="-15" w:right="0"/>
      </w:pPr>
      <w:r>
        <w:t>2.9. Абзацы второй-четвертый пункта 2.6 Порядка изложить в следующей редакции:</w:t>
      </w:r>
    </w:p>
    <w:p w:rsidR="002124F5" w:rsidRDefault="00112E45" w:rsidP="00310B34">
      <w:pPr>
        <w:spacing w:line="240" w:lineRule="auto"/>
        <w:ind w:left="-15" w:right="0" w:firstLine="709"/>
      </w:pPr>
      <w:r>
        <w:t>«Обязательными условиями предоставления субсидии, включаемыми в Соглашение, являются:</w:t>
      </w:r>
    </w:p>
    <w:p w:rsidR="002124F5" w:rsidRDefault="00112E45" w:rsidP="00310B34">
      <w:pPr>
        <w:numPr>
          <w:ilvl w:val="0"/>
          <w:numId w:val="4"/>
        </w:numPr>
        <w:spacing w:line="240" w:lineRule="auto"/>
        <w:ind w:right="0"/>
      </w:pPr>
      <w:r>
        <w:t xml:space="preserve">требование о согласовании новых условий </w:t>
      </w:r>
      <w:r w:rsidR="005A6275">
        <w:t xml:space="preserve">или о расторжении </w:t>
      </w:r>
      <w:r>
        <w:t>Соглашения при недостижении согласия по новым условиям в случае уменьшения Уполномоченному органу ранее доведенных лимитов бюджетных обязательств, приводящего к невозможности предоставлении субсидии в раз</w:t>
      </w:r>
      <w:r w:rsidR="005A6275">
        <w:t>мере, определенном в Соглашении</w:t>
      </w:r>
      <w:r w:rsidR="00A07925">
        <w:t>;</w:t>
      </w:r>
      <w:r w:rsidR="00F829BD">
        <w:t xml:space="preserve"> </w:t>
      </w:r>
    </w:p>
    <w:p w:rsidR="002124F5" w:rsidRDefault="00112E45" w:rsidP="00310B34">
      <w:pPr>
        <w:numPr>
          <w:ilvl w:val="0"/>
          <w:numId w:val="4"/>
        </w:numPr>
        <w:spacing w:line="240" w:lineRule="auto"/>
        <w:ind w:right="0"/>
      </w:pPr>
      <w:r>
        <w:t>согласие Фонда и лиц, являющихся поставщиками (подрядчиками, исполнителями) по договорам (соглашениям),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Уполномоченным органом проверок соблюдения ими условий и порядка предоставления субсидий, в том числе в части достижения результатов предоставления субсидий, а также проверки органами муниципального финансового контроля (Контрольно-ревизионный отдел Администрации города Норильска, Контрольно-счетная палата города Норильска) в соответствии со статьями 268.1 и 269.2 Бюджетного кодекса Российской Федерации.».</w:t>
      </w:r>
    </w:p>
    <w:p w:rsidR="002124F5" w:rsidRDefault="00685106" w:rsidP="00685106">
      <w:pPr>
        <w:spacing w:line="240" w:lineRule="auto"/>
        <w:ind w:left="0" w:right="0"/>
      </w:pPr>
      <w:r>
        <w:t xml:space="preserve">2.10. </w:t>
      </w:r>
      <w:r w:rsidR="00112E45">
        <w:t xml:space="preserve">В пункте 2.7 Порядка слова «Уполномоченный орган» заменить словом «Управление». </w:t>
      </w:r>
    </w:p>
    <w:p w:rsidR="002124F5" w:rsidRDefault="00685106" w:rsidP="00685106">
      <w:pPr>
        <w:spacing w:line="240" w:lineRule="auto"/>
        <w:ind w:left="0" w:right="0" w:firstLine="515"/>
      </w:pPr>
      <w:r>
        <w:t xml:space="preserve">2.11. </w:t>
      </w:r>
      <w:r w:rsidR="00112E45">
        <w:t>Пункт 2.8 Порядка изложить в следующей редакции:</w:t>
      </w:r>
    </w:p>
    <w:p w:rsidR="002124F5" w:rsidRDefault="00112E45" w:rsidP="00310B34">
      <w:pPr>
        <w:spacing w:line="240" w:lineRule="auto"/>
        <w:ind w:left="-15" w:right="0"/>
      </w:pPr>
      <w:r>
        <w:t>«2.8. Заместитель Главы города Норильска по информационной политике и перспективному развитию от имени Уполномоченного органа осуществляет подписание Соглашения в течение 2 рабочих дней со дня его представления в Управление Фондом при условии подписания Фондом Соглашения в представленной Управлением редакции.</w:t>
      </w:r>
    </w:p>
    <w:p w:rsidR="002124F5" w:rsidRDefault="00112E45" w:rsidP="00310B34">
      <w:pPr>
        <w:spacing w:line="240" w:lineRule="auto"/>
        <w:ind w:left="-15" w:right="0"/>
      </w:pPr>
      <w:r>
        <w:lastRenderedPageBreak/>
        <w:t>Подписанный экземпляр Соглашения в день подписания заместителем Главы города Норильска по информационной политике и перспективному развитию направляется в отдел финансирования, учета и отчетности Уполномоченного органа для регистрации. Зарегистрированное Соглашение в течени</w:t>
      </w:r>
      <w:r w:rsidR="00F829BD">
        <w:t>е</w:t>
      </w:r>
      <w:r>
        <w:t xml:space="preserve"> 3 рабочих дней с даты его регистрации направляется в Фонд.». </w:t>
      </w:r>
    </w:p>
    <w:p w:rsidR="002124F5" w:rsidRDefault="00685106" w:rsidP="00685106">
      <w:pPr>
        <w:spacing w:line="240" w:lineRule="auto"/>
        <w:ind w:left="0" w:right="0" w:firstLine="515"/>
      </w:pPr>
      <w:r>
        <w:t xml:space="preserve">2.12. </w:t>
      </w:r>
      <w:r w:rsidR="00112E45">
        <w:t>Пункт 2.9 Порядка изложить в следующей редакции:</w:t>
      </w:r>
    </w:p>
    <w:p w:rsidR="002124F5" w:rsidRDefault="00112E45" w:rsidP="00310B34">
      <w:pPr>
        <w:spacing w:line="240" w:lineRule="auto"/>
        <w:ind w:left="-15" w:right="0"/>
      </w:pPr>
      <w:r>
        <w:t>«2.9. Результатом предоставления субсидии является реализация проекта «Телефон доверия», оказание услуг по консультированию и руководству проектом «Телефон доверия».</w:t>
      </w:r>
    </w:p>
    <w:p w:rsidR="002124F5" w:rsidRDefault="00112E45" w:rsidP="00310B34">
      <w:pPr>
        <w:spacing w:line="240" w:lineRule="auto"/>
        <w:ind w:left="-15" w:right="0"/>
      </w:pPr>
      <w:r>
        <w:t>Характеристиками результата предоставления субсидии (дополнительными количественными параметрами, которым должен соответствовать результат предоставление субсидии по состоянию на 31 декабря текущего финансового года) (далее – характеристики результата) являются:</w:t>
      </w:r>
    </w:p>
    <w:p w:rsidR="002124F5" w:rsidRDefault="00112E45" w:rsidP="00310B34">
      <w:pPr>
        <w:numPr>
          <w:ilvl w:val="0"/>
          <w:numId w:val="4"/>
        </w:numPr>
        <w:spacing w:line="240" w:lineRule="auto"/>
        <w:ind w:right="0"/>
      </w:pPr>
      <w:r>
        <w:t>количество консультаций по обращениям на телефон доверия – 100% от числа поступивших обращений;</w:t>
      </w:r>
    </w:p>
    <w:p w:rsidR="002124F5" w:rsidRDefault="00112E45" w:rsidP="00310B34">
      <w:pPr>
        <w:numPr>
          <w:ilvl w:val="0"/>
          <w:numId w:val="4"/>
        </w:numPr>
        <w:spacing w:line="240" w:lineRule="auto"/>
        <w:ind w:right="0"/>
      </w:pPr>
      <w:r>
        <w:t>количество исполнителей Фонда, участвующих в реализации проекта «Телефон доверия» - 100% от предусмотренной в текущем году численности исполнителей.».</w:t>
      </w:r>
    </w:p>
    <w:p w:rsidR="002124F5" w:rsidRDefault="00685106" w:rsidP="00685106">
      <w:pPr>
        <w:spacing w:line="240" w:lineRule="auto"/>
        <w:ind w:left="0" w:right="0"/>
      </w:pPr>
      <w:r>
        <w:t xml:space="preserve">2.13. </w:t>
      </w:r>
      <w:r w:rsidR="00D321A2">
        <w:t>П</w:t>
      </w:r>
      <w:r w:rsidR="00112E45">
        <w:t xml:space="preserve">ункт 2.11 Порядка </w:t>
      </w:r>
      <w:r w:rsidR="00D321A2">
        <w:t>изложить в следующей редакции:</w:t>
      </w:r>
      <w:r w:rsidR="00112E45">
        <w:t xml:space="preserve"> </w:t>
      </w:r>
    </w:p>
    <w:p w:rsidR="002124F5" w:rsidRDefault="00112E45" w:rsidP="00310B34">
      <w:pPr>
        <w:spacing w:after="38" w:line="240" w:lineRule="auto"/>
        <w:ind w:left="539" w:right="0" w:firstLine="0"/>
      </w:pPr>
      <w:r>
        <w:t>«2.11. Размер субсидии (Ʃ</w:t>
      </w:r>
      <w:r>
        <w:rPr>
          <w:vertAlign w:val="subscript"/>
        </w:rPr>
        <w:t>общ</w:t>
      </w:r>
      <w:r>
        <w:t>) рассчитывается по следующей формуле:</w:t>
      </w:r>
    </w:p>
    <w:p w:rsidR="002124F5" w:rsidRDefault="00112E45" w:rsidP="00310B34">
      <w:pPr>
        <w:spacing w:after="0" w:line="240" w:lineRule="auto"/>
        <w:ind w:left="539" w:right="0" w:firstLine="0"/>
        <w:jc w:val="center"/>
      </w:pPr>
      <w:r>
        <w:t>Ʃ</w:t>
      </w:r>
      <w:r>
        <w:rPr>
          <w:vertAlign w:val="subscript"/>
        </w:rPr>
        <w:t xml:space="preserve">общ </w:t>
      </w:r>
      <w:r>
        <w:t>= (Ʃ</w:t>
      </w:r>
      <w:r>
        <w:rPr>
          <w:vertAlign w:val="subscript"/>
        </w:rPr>
        <w:t>1</w:t>
      </w:r>
      <w:r>
        <w:t>+ Ʃ</w:t>
      </w:r>
      <w:r>
        <w:rPr>
          <w:vertAlign w:val="subscript"/>
        </w:rPr>
        <w:t>2</w:t>
      </w:r>
      <w:r>
        <w:t>)×12</w:t>
      </w:r>
    </w:p>
    <w:p w:rsidR="002124F5" w:rsidRDefault="00112E45" w:rsidP="00310B34">
      <w:pPr>
        <w:spacing w:line="240" w:lineRule="auto"/>
        <w:ind w:left="539" w:right="0" w:firstLine="0"/>
      </w:pPr>
      <w:r>
        <w:t xml:space="preserve">где, </w:t>
      </w:r>
    </w:p>
    <w:p w:rsidR="00684F7C" w:rsidRDefault="00112E45" w:rsidP="00684F7C">
      <w:pPr>
        <w:spacing w:line="240" w:lineRule="auto"/>
        <w:ind w:left="-15" w:right="0" w:firstLine="554"/>
      </w:pPr>
      <w:r>
        <w:t>Ʃ</w:t>
      </w:r>
      <w:r>
        <w:rPr>
          <w:vertAlign w:val="subscript"/>
        </w:rPr>
        <w:t>1</w:t>
      </w:r>
      <w:r>
        <w:t xml:space="preserve"> – ежемесячные расходы на оплату услуг руководителя проекта «Телефон доверия»; </w:t>
      </w:r>
    </w:p>
    <w:p w:rsidR="00D321A2" w:rsidRDefault="00112E45" w:rsidP="00684F7C">
      <w:pPr>
        <w:spacing w:line="240" w:lineRule="auto"/>
        <w:ind w:left="-15" w:right="0" w:firstLine="554"/>
      </w:pPr>
      <w:r>
        <w:t>Ʃ</w:t>
      </w:r>
      <w:r>
        <w:rPr>
          <w:vertAlign w:val="subscript"/>
        </w:rPr>
        <w:t>2</w:t>
      </w:r>
      <w:r>
        <w:t xml:space="preserve"> – ежемесячные расходы на оплату услуг консультантов проекта «Телефон доверия».</w:t>
      </w:r>
    </w:p>
    <w:p w:rsidR="002124F5" w:rsidRDefault="00D321A2" w:rsidP="00684F7C">
      <w:pPr>
        <w:spacing w:line="240" w:lineRule="auto"/>
        <w:ind w:left="-15" w:right="0" w:firstLine="554"/>
      </w:pPr>
      <w:r w:rsidRPr="00D321A2">
        <w:t>Предоставление субсидии Фонду осуществляется в пределах бюджетных ассигнований, предусмотренных на эти цели решением Норильского городского Совета депутатов о бюджете муниципального образования город Норильск на очередной финансовый год и плановый период</w:t>
      </w:r>
      <w:r>
        <w:t>.</w:t>
      </w:r>
      <w:r w:rsidR="00112E45">
        <w:t>».</w:t>
      </w:r>
    </w:p>
    <w:p w:rsidR="002124F5" w:rsidRDefault="00685106" w:rsidP="00685106">
      <w:pPr>
        <w:spacing w:line="240" w:lineRule="auto"/>
        <w:ind w:left="0" w:right="0" w:firstLine="539"/>
      </w:pPr>
      <w:r>
        <w:t xml:space="preserve">2.14. </w:t>
      </w:r>
      <w:r w:rsidR="00112E45">
        <w:t xml:space="preserve">В пункте 2.15 Порядка слова «бухгалтерская служба Уполномоченного органа» заменить словами «отдел финансирования, учета и отчетности Администрации города Норильска». </w:t>
      </w:r>
    </w:p>
    <w:p w:rsidR="002124F5" w:rsidRDefault="00685106" w:rsidP="00685106">
      <w:pPr>
        <w:spacing w:line="240" w:lineRule="auto"/>
        <w:ind w:left="0" w:right="0" w:firstLine="515"/>
      </w:pPr>
      <w:r>
        <w:t xml:space="preserve">2.15. </w:t>
      </w:r>
      <w:r w:rsidR="00112E45">
        <w:t xml:space="preserve">Абзац третий пункта 2.17 Порядка изложить в следующей редакции: </w:t>
      </w:r>
    </w:p>
    <w:p w:rsidR="002124F5" w:rsidRDefault="00112E45" w:rsidP="00310B34">
      <w:pPr>
        <w:spacing w:line="240" w:lineRule="auto"/>
        <w:ind w:left="-15" w:right="0"/>
      </w:pPr>
      <w:r>
        <w:t xml:space="preserve">«- установление факта недостоверности представленной Фондом информации, указанной в документах, определенных пунктом 2.13 настоящего Порядка.». </w:t>
      </w:r>
    </w:p>
    <w:p w:rsidR="002124F5" w:rsidRDefault="00685106" w:rsidP="00685106">
      <w:pPr>
        <w:spacing w:line="240" w:lineRule="auto"/>
        <w:ind w:left="0" w:right="0" w:firstLine="515"/>
      </w:pPr>
      <w:r>
        <w:t xml:space="preserve">2.16. </w:t>
      </w:r>
      <w:r w:rsidR="00112E45">
        <w:t>Дополнить Порядок пунктом 2.19 следующего содержания:</w:t>
      </w:r>
    </w:p>
    <w:p w:rsidR="002124F5" w:rsidRDefault="00112E45" w:rsidP="00310B34">
      <w:pPr>
        <w:spacing w:line="240" w:lineRule="auto"/>
        <w:ind w:left="-15" w:right="0"/>
      </w:pPr>
      <w:r>
        <w:t xml:space="preserve">«2.19. При реорганизации Фонда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</w:t>
      </w:r>
      <w:r w:rsidR="00F829BD">
        <w:t>в С</w:t>
      </w:r>
      <w:r>
        <w:t>оглашении юридического лица, являющегося правопреемником.</w:t>
      </w:r>
    </w:p>
    <w:p w:rsidR="002124F5" w:rsidRDefault="00112E45" w:rsidP="00310B34">
      <w:pPr>
        <w:spacing w:line="240" w:lineRule="auto"/>
        <w:ind w:left="-15" w:right="0"/>
      </w:pPr>
      <w:r>
        <w:t xml:space="preserve">При реорганизации Фонда в форме разделения, выделения, а также при ликвидации </w:t>
      </w:r>
      <w:r w:rsidR="00F829BD" w:rsidRPr="00F829BD">
        <w:t>или пр</w:t>
      </w:r>
      <w:r w:rsidR="00F829BD">
        <w:t>е</w:t>
      </w:r>
      <w:r w:rsidR="00F829BD" w:rsidRPr="00F829BD">
        <w:t>кращении</w:t>
      </w:r>
      <w:r w:rsidR="00F829BD">
        <w:t xml:space="preserve"> деятельности </w:t>
      </w:r>
      <w:r>
        <w:t>Фонда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Фондом обязательствах, источником финансового обеспечения которых является субсидия, и возврате неиспользованного остатка субсидии в местный бюджет.».</w:t>
      </w:r>
    </w:p>
    <w:p w:rsidR="002124F5" w:rsidRDefault="00685106" w:rsidP="00685106">
      <w:pPr>
        <w:spacing w:line="240" w:lineRule="auto"/>
        <w:ind w:left="0" w:right="0" w:firstLine="515"/>
      </w:pPr>
      <w:r>
        <w:t xml:space="preserve">2.17. </w:t>
      </w:r>
      <w:r w:rsidR="00112E45">
        <w:t>В пункте 3.1 Порядка:</w:t>
      </w:r>
    </w:p>
    <w:p w:rsidR="00F829BD" w:rsidRDefault="00685106" w:rsidP="00685106">
      <w:pPr>
        <w:spacing w:line="240" w:lineRule="auto"/>
        <w:ind w:left="0" w:right="0" w:firstLine="515"/>
      </w:pPr>
      <w:r>
        <w:t xml:space="preserve">2.17.1. </w:t>
      </w:r>
      <w:r w:rsidR="00112E45">
        <w:t>Слова «Уполномоченный орган» заменить словом «Управление»</w:t>
      </w:r>
      <w:r w:rsidR="00F829BD">
        <w:t>.</w:t>
      </w:r>
      <w:r w:rsidR="00112E45">
        <w:t xml:space="preserve"> </w:t>
      </w:r>
    </w:p>
    <w:p w:rsidR="002124F5" w:rsidRDefault="00685106" w:rsidP="00685106">
      <w:pPr>
        <w:spacing w:line="240" w:lineRule="auto"/>
        <w:ind w:left="0" w:right="0" w:firstLine="515"/>
      </w:pPr>
      <w:r>
        <w:lastRenderedPageBreak/>
        <w:t xml:space="preserve">2.17.2. </w:t>
      </w:r>
      <w:r w:rsidR="00112E45">
        <w:t xml:space="preserve">Абзац второй изложить в следующей редакции: </w:t>
      </w:r>
    </w:p>
    <w:p w:rsidR="002124F5" w:rsidRDefault="00112E45" w:rsidP="00310B34">
      <w:pPr>
        <w:spacing w:line="240" w:lineRule="auto"/>
        <w:ind w:left="-15" w:right="0"/>
      </w:pPr>
      <w:r>
        <w:t>«1) отчет о достижении значений результата предоставления субсидии и характеристик результата, указанных в пункте 2.9 настоящего Порядка;».</w:t>
      </w:r>
    </w:p>
    <w:p w:rsidR="002124F5" w:rsidRDefault="00685106" w:rsidP="00685106">
      <w:pPr>
        <w:spacing w:line="240" w:lineRule="auto"/>
        <w:ind w:left="0" w:right="0" w:firstLine="515"/>
      </w:pPr>
      <w:r>
        <w:t xml:space="preserve">2.17.3. </w:t>
      </w:r>
      <w:r w:rsidR="00112E45">
        <w:t>Абзац третий подпункта</w:t>
      </w:r>
      <w:r w:rsidR="00C9558D">
        <w:t xml:space="preserve"> 2</w:t>
      </w:r>
      <w:bookmarkStart w:id="0" w:name="_GoBack"/>
      <w:bookmarkEnd w:id="0"/>
      <w:r w:rsidR="00112E45">
        <w:t xml:space="preserve"> </w:t>
      </w:r>
      <w:r w:rsidR="00C9558D">
        <w:t>изложить в следующей редакции:</w:t>
      </w:r>
      <w:r w:rsidR="00112E45">
        <w:t xml:space="preserve"> </w:t>
      </w:r>
    </w:p>
    <w:p w:rsidR="002124F5" w:rsidRDefault="00C9558D" w:rsidP="00310B34">
      <w:pPr>
        <w:spacing w:line="240" w:lineRule="auto"/>
        <w:ind w:left="-15" w:right="0"/>
      </w:pPr>
      <w:r>
        <w:t xml:space="preserve"> </w:t>
      </w:r>
      <w:r w:rsidR="00112E45">
        <w:t>«Управление в течение 5 рабочих дней со дня получения отчетов от Фонда осуществляет их проверку. В случаях выявления допущенных ошибок, незаполненных строк возвращает отчеты для их исправления и повторного предоставления.».</w:t>
      </w:r>
    </w:p>
    <w:p w:rsidR="002124F5" w:rsidRDefault="00112E45" w:rsidP="00310B34">
      <w:pPr>
        <w:spacing w:line="240" w:lineRule="auto"/>
        <w:ind w:left="567" w:right="0" w:firstLine="0"/>
      </w:pPr>
      <w:r>
        <w:t>2.18. Пункт 4.6</w:t>
      </w:r>
      <w:r w:rsidR="00EC5D4F">
        <w:t xml:space="preserve"> Порядка</w:t>
      </w:r>
      <w:r>
        <w:t xml:space="preserve"> изложить в </w:t>
      </w:r>
      <w:r w:rsidR="00EC5D4F">
        <w:t>следующей</w:t>
      </w:r>
      <w:r>
        <w:t xml:space="preserve"> редакции:</w:t>
      </w:r>
    </w:p>
    <w:p w:rsidR="002124F5" w:rsidRDefault="00112E45" w:rsidP="00310B34">
      <w:pPr>
        <w:spacing w:line="240" w:lineRule="auto"/>
        <w:ind w:left="-15" w:right="0"/>
      </w:pPr>
      <w:r>
        <w:t xml:space="preserve">«4.6.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производится Уполномоченным органом в </w:t>
      </w:r>
      <w:r w:rsidR="00D321A2">
        <w:t xml:space="preserve">соответствии с </w:t>
      </w:r>
      <w:r w:rsidR="00D321A2" w:rsidRPr="00D321A2">
        <w:t>Поряд</w:t>
      </w:r>
      <w:r w:rsidR="00D321A2">
        <w:t>ком</w:t>
      </w:r>
      <w:r w:rsidR="00D321A2" w:rsidRPr="00D321A2">
        <w:t xml:space="preserve">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</w:t>
      </w:r>
      <w:r w:rsidR="00D321A2">
        <w:t xml:space="preserve">зводителям товаров, работ, услуг, утвержденным </w:t>
      </w:r>
      <w:r w:rsidR="00D321A2" w:rsidRPr="00D321A2">
        <w:t>Приказ</w:t>
      </w:r>
      <w:r w:rsidR="00D321A2">
        <w:t>ом</w:t>
      </w:r>
      <w:r w:rsidR="00D321A2" w:rsidRPr="00D321A2">
        <w:t xml:space="preserve"> Минфина России от 27.04.2024 </w:t>
      </w:r>
      <w:r w:rsidR="00D321A2">
        <w:t>№</w:t>
      </w:r>
      <w:r w:rsidR="00D321A2" w:rsidRPr="00D321A2">
        <w:t xml:space="preserve"> 53н</w:t>
      </w:r>
      <w:r w:rsidRPr="00D321A2">
        <w:t>.</w:t>
      </w:r>
      <w:r>
        <w:t>».</w:t>
      </w:r>
    </w:p>
    <w:p w:rsidR="002124F5" w:rsidRDefault="00685106" w:rsidP="00685106">
      <w:pPr>
        <w:spacing w:line="240" w:lineRule="auto"/>
        <w:ind w:left="0" w:right="0" w:firstLine="515"/>
      </w:pPr>
      <w:r>
        <w:t xml:space="preserve">3. </w:t>
      </w:r>
      <w:r w:rsidR="00112E45">
        <w:t xml:space="preserve">Опубликовать настоящее постановление в газете «Заполярная правда» и разместить его на официальном сайте муниципального образования город Норильск. </w:t>
      </w:r>
    </w:p>
    <w:p w:rsidR="002124F5" w:rsidRDefault="00685106" w:rsidP="00685106">
      <w:pPr>
        <w:spacing w:after="914" w:line="240" w:lineRule="auto"/>
        <w:ind w:left="0" w:right="0" w:firstLine="515"/>
      </w:pPr>
      <w:r>
        <w:t xml:space="preserve">4. </w:t>
      </w:r>
      <w:r w:rsidR="00112E45">
        <w:t xml:space="preserve">Настоящее постановление вступает в силу с 01.01.2025. </w:t>
      </w:r>
    </w:p>
    <w:p w:rsidR="00685106" w:rsidRDefault="00112E45" w:rsidP="00685106">
      <w:pPr>
        <w:tabs>
          <w:tab w:val="center" w:pos="8639"/>
        </w:tabs>
        <w:spacing w:after="0" w:line="240" w:lineRule="auto"/>
        <w:ind w:left="-15" w:right="0" w:firstLine="0"/>
        <w:jc w:val="left"/>
      </w:pPr>
      <w:r>
        <w:t>Глава города Норильска</w:t>
      </w:r>
      <w:r>
        <w:tab/>
        <w:t>Д.В. Карасев</w:t>
      </w:r>
    </w:p>
    <w:p w:rsidR="00685106" w:rsidRDefault="00685106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685106" w:rsidRDefault="00685106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685106" w:rsidRDefault="00685106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685106" w:rsidRDefault="00685106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685106" w:rsidRDefault="00685106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2C36F5" w:rsidRDefault="002C36F5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2C36F5" w:rsidRDefault="002C36F5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2C36F5" w:rsidRDefault="002C36F5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2C36F5" w:rsidRDefault="002C36F5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2C36F5" w:rsidRDefault="002C36F5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336E2B" w:rsidRDefault="00336E2B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336E2B" w:rsidRDefault="00336E2B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336E2B" w:rsidRDefault="00336E2B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684F7C" w:rsidRDefault="00684F7C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684F7C" w:rsidRDefault="00684F7C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684F7C" w:rsidRDefault="00684F7C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684F7C" w:rsidRDefault="00684F7C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684F7C" w:rsidRDefault="00684F7C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684F7C" w:rsidRDefault="00684F7C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684F7C" w:rsidRDefault="00684F7C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684F7C" w:rsidRDefault="00684F7C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684F7C" w:rsidRDefault="00684F7C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684F7C" w:rsidRDefault="00684F7C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684F7C" w:rsidRDefault="00684F7C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684F7C" w:rsidRDefault="00684F7C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684F7C" w:rsidRDefault="00684F7C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684F7C" w:rsidRDefault="00684F7C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684F7C" w:rsidRDefault="00684F7C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684F7C" w:rsidRDefault="00684F7C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684F7C" w:rsidRDefault="00684F7C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684F7C" w:rsidRDefault="00684F7C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2124F5" w:rsidRDefault="00112E45" w:rsidP="00685106">
      <w:pPr>
        <w:tabs>
          <w:tab w:val="center" w:pos="8639"/>
        </w:tabs>
        <w:spacing w:after="0" w:line="240" w:lineRule="auto"/>
        <w:ind w:left="0" w:right="0" w:firstLine="0"/>
        <w:jc w:val="left"/>
      </w:pPr>
      <w:r>
        <w:rPr>
          <w:sz w:val="20"/>
        </w:rPr>
        <w:t>Леу Лидия Александровна</w:t>
      </w:r>
    </w:p>
    <w:p w:rsidR="002124F5" w:rsidRDefault="00112E45" w:rsidP="00685106">
      <w:pPr>
        <w:spacing w:after="0" w:line="240" w:lineRule="auto"/>
        <w:ind w:left="0" w:right="0" w:firstLine="0"/>
        <w:jc w:val="left"/>
      </w:pPr>
      <w:r>
        <w:rPr>
          <w:sz w:val="20"/>
        </w:rPr>
        <w:t>43-70-23</w:t>
      </w:r>
    </w:p>
    <w:sectPr w:rsidR="002124F5">
      <w:pgSz w:w="11906" w:h="16838"/>
      <w:pgMar w:top="851" w:right="567" w:bottom="97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801" w:rsidRDefault="007D5801" w:rsidP="00685106">
      <w:pPr>
        <w:spacing w:after="0" w:line="240" w:lineRule="auto"/>
      </w:pPr>
      <w:r>
        <w:separator/>
      </w:r>
    </w:p>
  </w:endnote>
  <w:endnote w:type="continuationSeparator" w:id="0">
    <w:p w:rsidR="007D5801" w:rsidRDefault="007D5801" w:rsidP="00685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801" w:rsidRDefault="007D5801" w:rsidP="00685106">
      <w:pPr>
        <w:spacing w:after="0" w:line="240" w:lineRule="auto"/>
      </w:pPr>
      <w:r>
        <w:separator/>
      </w:r>
    </w:p>
  </w:footnote>
  <w:footnote w:type="continuationSeparator" w:id="0">
    <w:p w:rsidR="007D5801" w:rsidRDefault="007D5801" w:rsidP="00685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06AB"/>
    <w:multiLevelType w:val="multilevel"/>
    <w:tmpl w:val="ED5A34C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0A6F03"/>
    <w:multiLevelType w:val="multilevel"/>
    <w:tmpl w:val="2DDE068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372717"/>
    <w:multiLevelType w:val="multilevel"/>
    <w:tmpl w:val="96F6E5D0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DF2B19"/>
    <w:multiLevelType w:val="multilevel"/>
    <w:tmpl w:val="0F52FF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7865DF"/>
    <w:multiLevelType w:val="multilevel"/>
    <w:tmpl w:val="D84ED23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7A6A32"/>
    <w:multiLevelType w:val="hybridMultilevel"/>
    <w:tmpl w:val="91A85902"/>
    <w:lvl w:ilvl="0" w:tplc="1CF663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E697F6">
      <w:start w:val="1"/>
      <w:numFmt w:val="bullet"/>
      <w:lvlText w:val="o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20A3C6">
      <w:start w:val="1"/>
      <w:numFmt w:val="bullet"/>
      <w:lvlText w:val="▪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2CD802">
      <w:start w:val="1"/>
      <w:numFmt w:val="bullet"/>
      <w:lvlText w:val="•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5F012A2">
      <w:start w:val="1"/>
      <w:numFmt w:val="bullet"/>
      <w:lvlText w:val="o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A02370">
      <w:start w:val="1"/>
      <w:numFmt w:val="bullet"/>
      <w:lvlText w:val="▪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460E566">
      <w:start w:val="1"/>
      <w:numFmt w:val="bullet"/>
      <w:lvlText w:val="•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8C5BEE">
      <w:start w:val="1"/>
      <w:numFmt w:val="bullet"/>
      <w:lvlText w:val="o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708524">
      <w:start w:val="1"/>
      <w:numFmt w:val="bullet"/>
      <w:lvlText w:val="▪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DC0B14"/>
    <w:multiLevelType w:val="multilevel"/>
    <w:tmpl w:val="4E50A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186ABE"/>
    <w:multiLevelType w:val="multilevel"/>
    <w:tmpl w:val="92E871F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101134"/>
    <w:multiLevelType w:val="multilevel"/>
    <w:tmpl w:val="46B040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A5B1C5F"/>
    <w:multiLevelType w:val="hybridMultilevel"/>
    <w:tmpl w:val="4212285E"/>
    <w:lvl w:ilvl="0" w:tplc="F3AC920C">
      <w:start w:val="3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DEAA624">
      <w:start w:val="1"/>
      <w:numFmt w:val="lowerLetter"/>
      <w:lvlText w:val="%2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0842F04">
      <w:start w:val="1"/>
      <w:numFmt w:val="lowerRoman"/>
      <w:lvlText w:val="%3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CCF992">
      <w:start w:val="1"/>
      <w:numFmt w:val="decimal"/>
      <w:lvlText w:val="%4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99CD7DC">
      <w:start w:val="1"/>
      <w:numFmt w:val="lowerLetter"/>
      <w:lvlText w:val="%5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5C8FA0">
      <w:start w:val="1"/>
      <w:numFmt w:val="lowerRoman"/>
      <w:lvlText w:val="%6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24D93C">
      <w:start w:val="1"/>
      <w:numFmt w:val="decimal"/>
      <w:lvlText w:val="%7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EC4CAD2">
      <w:start w:val="1"/>
      <w:numFmt w:val="lowerLetter"/>
      <w:lvlText w:val="%8"/>
      <w:lvlJc w:val="left"/>
      <w:pPr>
        <w:ind w:left="5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ADCC20A">
      <w:start w:val="1"/>
      <w:numFmt w:val="lowerRoman"/>
      <w:lvlText w:val="%9"/>
      <w:lvlJc w:val="left"/>
      <w:pPr>
        <w:ind w:left="6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214EAC"/>
    <w:multiLevelType w:val="hybridMultilevel"/>
    <w:tmpl w:val="AD6CA694"/>
    <w:lvl w:ilvl="0" w:tplc="0FC8DE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0A25FA">
      <w:start w:val="1"/>
      <w:numFmt w:val="bullet"/>
      <w:lvlText w:val="o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DAACF40">
      <w:start w:val="1"/>
      <w:numFmt w:val="bullet"/>
      <w:lvlText w:val="▪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BA4138C">
      <w:start w:val="1"/>
      <w:numFmt w:val="bullet"/>
      <w:lvlText w:val="•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EA8BEA">
      <w:start w:val="1"/>
      <w:numFmt w:val="bullet"/>
      <w:lvlText w:val="o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864032">
      <w:start w:val="1"/>
      <w:numFmt w:val="bullet"/>
      <w:lvlText w:val="▪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4E4CA76">
      <w:start w:val="1"/>
      <w:numFmt w:val="bullet"/>
      <w:lvlText w:val="•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4783D94">
      <w:start w:val="1"/>
      <w:numFmt w:val="bullet"/>
      <w:lvlText w:val="o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A43472">
      <w:start w:val="1"/>
      <w:numFmt w:val="bullet"/>
      <w:lvlText w:val="▪"/>
      <w:lvlJc w:val="left"/>
      <w:pPr>
        <w:ind w:left="6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933D99"/>
    <w:multiLevelType w:val="multilevel"/>
    <w:tmpl w:val="ACC818D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0"/>
  </w:num>
  <w:num w:numId="5">
    <w:abstractNumId w:val="4"/>
  </w:num>
  <w:num w:numId="6">
    <w:abstractNumId w:val="7"/>
  </w:num>
  <w:num w:numId="7">
    <w:abstractNumId w:val="11"/>
  </w:num>
  <w:num w:numId="8">
    <w:abstractNumId w:val="9"/>
  </w:num>
  <w:num w:numId="9">
    <w:abstractNumId w:val="8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F5"/>
    <w:rsid w:val="00112E45"/>
    <w:rsid w:val="001C473F"/>
    <w:rsid w:val="002124F5"/>
    <w:rsid w:val="002C36F5"/>
    <w:rsid w:val="002F2CD7"/>
    <w:rsid w:val="00310B34"/>
    <w:rsid w:val="00336E2B"/>
    <w:rsid w:val="005A0A44"/>
    <w:rsid w:val="005A6275"/>
    <w:rsid w:val="005A7629"/>
    <w:rsid w:val="00684F7C"/>
    <w:rsid w:val="00685106"/>
    <w:rsid w:val="007A0925"/>
    <w:rsid w:val="007D5801"/>
    <w:rsid w:val="007F056E"/>
    <w:rsid w:val="008576AC"/>
    <w:rsid w:val="00953C31"/>
    <w:rsid w:val="009D1E54"/>
    <w:rsid w:val="00A07925"/>
    <w:rsid w:val="00A823E8"/>
    <w:rsid w:val="00B0706A"/>
    <w:rsid w:val="00C53E89"/>
    <w:rsid w:val="00C9558D"/>
    <w:rsid w:val="00D321A2"/>
    <w:rsid w:val="00D651E1"/>
    <w:rsid w:val="00D713B6"/>
    <w:rsid w:val="00E1228D"/>
    <w:rsid w:val="00EC5D4F"/>
    <w:rsid w:val="00F04774"/>
    <w:rsid w:val="00F8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E48C"/>
  <w15:docId w15:val="{7B65BD1C-B478-4AF0-B84C-59519780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2266" w:right="21" w:firstLine="53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B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5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106"/>
    <w:rPr>
      <w:rFonts w:ascii="Times New Roman" w:eastAsia="Times New Roman" w:hAnsi="Times New Roman" w:cs="Times New Roman"/>
      <w:color w:val="000000"/>
      <w:sz w:val="26"/>
    </w:rPr>
  </w:style>
  <w:style w:type="paragraph" w:styleId="a6">
    <w:name w:val="footer"/>
    <w:basedOn w:val="a"/>
    <w:link w:val="a7"/>
    <w:uiPriority w:val="99"/>
    <w:unhideWhenUsed/>
    <w:rsid w:val="00685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106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13" Type="http://schemas.openxmlformats.org/officeDocument/2006/relationships/hyperlink" Target="https://login.consultant.ru/link/?req=doc&amp;base=LAW&amp;n=121087&amp;dst=10014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login.consultant.ru/link/?req=doc&amp;base=LAW&amp;n=121087&amp;dst=1001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21087&amp;dst=1001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2570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Валерьевна</dc:creator>
  <cp:keywords/>
  <cp:lastModifiedBy>Гаврилюк Снежана Анатольевна </cp:lastModifiedBy>
  <cp:revision>6</cp:revision>
  <dcterms:created xsi:type="dcterms:W3CDTF">2024-07-31T04:04:00Z</dcterms:created>
  <dcterms:modified xsi:type="dcterms:W3CDTF">2024-07-31T09:38:00Z</dcterms:modified>
</cp:coreProperties>
</file>