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699" w:rsidRPr="000B0E75" w:rsidRDefault="00BF4F7F"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Приложение № 6</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к муниципальной программе</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 xml:space="preserve"> «Реформирование и модернизации</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жилищно-коммунального хозяйства и</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повышение энергетической эффективности»,</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утвержденной постановлением</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Администрации города Норильска</w:t>
      </w:r>
    </w:p>
    <w:p w:rsidR="00457699" w:rsidRPr="000B0E75" w:rsidRDefault="00457699" w:rsidP="00457699">
      <w:pPr>
        <w:pStyle w:val="ConsPlusNormal"/>
        <w:ind w:left="5387"/>
        <w:rPr>
          <w:rFonts w:ascii="Times New Roman" w:hAnsi="Times New Roman" w:cs="Times New Roman"/>
          <w:sz w:val="26"/>
          <w:szCs w:val="26"/>
        </w:rPr>
      </w:pPr>
      <w:r w:rsidRPr="000B0E75">
        <w:rPr>
          <w:rFonts w:ascii="Times New Roman" w:hAnsi="Times New Roman" w:cs="Times New Roman"/>
          <w:sz w:val="26"/>
          <w:szCs w:val="26"/>
        </w:rPr>
        <w:t>от 07.12.2016 № 585</w:t>
      </w:r>
    </w:p>
    <w:p w:rsidR="00457699" w:rsidRPr="000B0E75" w:rsidRDefault="00457699" w:rsidP="00457699">
      <w:pPr>
        <w:pStyle w:val="ConsPlusNormal"/>
        <w:jc w:val="center"/>
        <w:rPr>
          <w:rFonts w:ascii="Times New Roman" w:hAnsi="Times New Roman" w:cs="Times New Roman"/>
          <w:sz w:val="26"/>
          <w:szCs w:val="26"/>
        </w:rPr>
      </w:pPr>
    </w:p>
    <w:p w:rsidR="00457699" w:rsidRPr="000B0E75" w:rsidRDefault="00457699" w:rsidP="00457699">
      <w:pPr>
        <w:autoSpaceDE w:val="0"/>
        <w:adjustRightInd w:val="0"/>
        <w:jc w:val="center"/>
        <w:outlineLvl w:val="0"/>
        <w:rPr>
          <w:bCs/>
          <w:sz w:val="26"/>
          <w:szCs w:val="26"/>
        </w:rPr>
      </w:pPr>
      <w:r w:rsidRPr="000B0E75">
        <w:rPr>
          <w:bCs/>
          <w:sz w:val="26"/>
          <w:szCs w:val="26"/>
        </w:rPr>
        <w:t>1. ПАСПОРТ</w:t>
      </w:r>
    </w:p>
    <w:p w:rsidR="00457699" w:rsidRPr="000B0E75" w:rsidRDefault="00457699" w:rsidP="00457699">
      <w:pPr>
        <w:autoSpaceDE w:val="0"/>
        <w:adjustRightInd w:val="0"/>
        <w:jc w:val="center"/>
        <w:rPr>
          <w:bCs/>
          <w:sz w:val="26"/>
          <w:szCs w:val="26"/>
        </w:rPr>
      </w:pPr>
      <w:r w:rsidRPr="000B0E75">
        <w:rPr>
          <w:bCs/>
          <w:sz w:val="26"/>
          <w:szCs w:val="26"/>
        </w:rPr>
        <w:t>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w:t>
      </w:r>
    </w:p>
    <w:p w:rsidR="00457699" w:rsidRPr="000B0E75" w:rsidRDefault="00457699" w:rsidP="00457699">
      <w:pPr>
        <w:autoSpaceDE w:val="0"/>
        <w:adjustRightInd w:val="0"/>
        <w:jc w:val="center"/>
        <w:rPr>
          <w:sz w:val="26"/>
          <w:szCs w:val="26"/>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3964"/>
        <w:gridCol w:w="5954"/>
      </w:tblGrid>
      <w:tr w:rsidR="00457699" w:rsidRPr="000B0E75" w:rsidTr="00DC5F53">
        <w:trPr>
          <w:trHeight w:val="942"/>
        </w:trPr>
        <w:tc>
          <w:tcPr>
            <w:tcW w:w="396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Соисполнитель МП (ответственный исполнитель подпрограммы)</w:t>
            </w:r>
          </w:p>
        </w:tc>
        <w:tc>
          <w:tcPr>
            <w:tcW w:w="595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Управление городского хозяйства Администрации города Норильска (МКУ «УЖКХ»)</w:t>
            </w:r>
          </w:p>
        </w:tc>
      </w:tr>
      <w:tr w:rsidR="00457699" w:rsidRPr="000B0E75" w:rsidTr="00DC5F53">
        <w:trPr>
          <w:trHeight w:val="687"/>
        </w:trPr>
        <w:tc>
          <w:tcPr>
            <w:tcW w:w="396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Цели подпрограммы МП</w:t>
            </w:r>
          </w:p>
        </w:tc>
        <w:tc>
          <w:tcPr>
            <w:tcW w:w="595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Обеспечение надежной эксплуатации жилищного фонда, объектов коммунальной инфраструктуры</w:t>
            </w:r>
          </w:p>
        </w:tc>
      </w:tr>
      <w:tr w:rsidR="00457699" w:rsidRPr="000B0E75" w:rsidTr="00DC5F53">
        <w:tc>
          <w:tcPr>
            <w:tcW w:w="396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Задачи подпрограммы МП</w:t>
            </w:r>
          </w:p>
        </w:tc>
        <w:tc>
          <w:tcPr>
            <w:tcW w:w="595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 создание условий для приведения жилищного фонда в соответствие со стандартами качества, обеспечивающими надежную эксплуатацию многоквартирных домов;</w:t>
            </w:r>
          </w:p>
          <w:p w:rsidR="00457699" w:rsidRPr="000B0E75" w:rsidRDefault="00457699" w:rsidP="00DC5F53">
            <w:pPr>
              <w:autoSpaceDE w:val="0"/>
              <w:adjustRightInd w:val="0"/>
              <w:rPr>
                <w:sz w:val="26"/>
                <w:szCs w:val="26"/>
              </w:rPr>
            </w:pPr>
            <w:r w:rsidRPr="000B0E75">
              <w:rPr>
                <w:sz w:val="26"/>
                <w:szCs w:val="26"/>
              </w:rPr>
              <w:t>- сохранение жилищного фонда муниципального образования город Норильск;</w:t>
            </w:r>
          </w:p>
          <w:p w:rsidR="00457699" w:rsidRPr="000B0E75" w:rsidRDefault="00457699" w:rsidP="00DC5F53">
            <w:pPr>
              <w:autoSpaceDE w:val="0"/>
              <w:adjustRightInd w:val="0"/>
              <w:rPr>
                <w:sz w:val="26"/>
                <w:szCs w:val="26"/>
              </w:rPr>
            </w:pPr>
            <w:r w:rsidRPr="000B0E75">
              <w:rPr>
                <w:sz w:val="26"/>
                <w:szCs w:val="26"/>
              </w:rPr>
              <w:t xml:space="preserve">- </w:t>
            </w:r>
            <w:r w:rsidRPr="000B0E75">
              <w:rPr>
                <w:rFonts w:eastAsiaTheme="minorHAnsi"/>
                <w:sz w:val="26"/>
                <w:szCs w:val="26"/>
                <w:lang w:eastAsia="en-US"/>
              </w:rPr>
              <w:t>готовность объектов коммунальной инфраструктуры для предоставления коммунальных услуг потребителям.</w:t>
            </w:r>
          </w:p>
        </w:tc>
      </w:tr>
      <w:tr w:rsidR="00457699" w:rsidRPr="000B0E75" w:rsidTr="00DC5F53">
        <w:tc>
          <w:tcPr>
            <w:tcW w:w="396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Срок реализации подпрограммы МП</w:t>
            </w:r>
          </w:p>
        </w:tc>
        <w:tc>
          <w:tcPr>
            <w:tcW w:w="595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2021 - 2025 годы</w:t>
            </w:r>
          </w:p>
        </w:tc>
      </w:tr>
      <w:tr w:rsidR="00457699" w:rsidRPr="000B0E75" w:rsidTr="00DC5F53">
        <w:trPr>
          <w:trHeight w:val="1553"/>
        </w:trPr>
        <w:tc>
          <w:tcPr>
            <w:tcW w:w="396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Объемы и источники финансирования подпрограммы МП по годам реализации (тыс. руб.)</w:t>
            </w:r>
          </w:p>
        </w:tc>
        <w:tc>
          <w:tcPr>
            <w:tcW w:w="595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Общий объем финансирования подпрограммы на период 2021 - 2025 годов за счет средств местного бюджета составит – 4 330 214,8 тыс.руб., в том числе по годам:</w:t>
            </w:r>
          </w:p>
          <w:p w:rsidR="00AE4F75" w:rsidRPr="00AE4F75" w:rsidRDefault="00AE4F75" w:rsidP="00AE4F75">
            <w:pPr>
              <w:autoSpaceDE w:val="0"/>
              <w:adjustRightInd w:val="0"/>
              <w:rPr>
                <w:sz w:val="26"/>
                <w:szCs w:val="26"/>
              </w:rPr>
            </w:pPr>
            <w:r w:rsidRPr="00AE4F75">
              <w:rPr>
                <w:sz w:val="26"/>
                <w:szCs w:val="26"/>
              </w:rPr>
              <w:t>2021 - 2024 годы – 3 326 993,0 тыс.руб.;</w:t>
            </w:r>
          </w:p>
          <w:p w:rsidR="00457699" w:rsidRPr="000B0E75" w:rsidRDefault="00457699" w:rsidP="00DC5F53">
            <w:pPr>
              <w:autoSpaceDE w:val="0"/>
              <w:adjustRightInd w:val="0"/>
              <w:rPr>
                <w:sz w:val="26"/>
                <w:szCs w:val="26"/>
              </w:rPr>
            </w:pPr>
            <w:bookmarkStart w:id="0" w:name="_GoBack"/>
            <w:bookmarkEnd w:id="0"/>
            <w:r w:rsidRPr="000B0E75">
              <w:rPr>
                <w:sz w:val="26"/>
                <w:szCs w:val="26"/>
              </w:rPr>
              <w:t>2025 год – 1 003 221,8 тыс.руб.</w:t>
            </w:r>
          </w:p>
        </w:tc>
      </w:tr>
      <w:tr w:rsidR="00457699" w:rsidRPr="000B0E75" w:rsidTr="00DC5F53">
        <w:tc>
          <w:tcPr>
            <w:tcW w:w="3964" w:type="dxa"/>
            <w:tcBorders>
              <w:top w:val="single" w:sz="4" w:space="0" w:color="auto"/>
              <w:left w:val="single" w:sz="4" w:space="0" w:color="auto"/>
              <w:bottom w:val="single" w:sz="4" w:space="0" w:color="auto"/>
              <w:right w:val="single" w:sz="4" w:space="0" w:color="auto"/>
            </w:tcBorders>
          </w:tcPr>
          <w:p w:rsidR="00457699" w:rsidRPr="000B0E75" w:rsidRDefault="00457699" w:rsidP="00DC5F53">
            <w:pPr>
              <w:autoSpaceDE w:val="0"/>
              <w:adjustRightInd w:val="0"/>
              <w:rPr>
                <w:sz w:val="26"/>
                <w:szCs w:val="26"/>
              </w:rPr>
            </w:pPr>
            <w:r w:rsidRPr="000B0E75">
              <w:rPr>
                <w:sz w:val="26"/>
                <w:szCs w:val="26"/>
              </w:rPr>
              <w:t xml:space="preserve">Основные ожидаемые результаты реализации подпрограммы МП (индикаторы результативности МП с ожидаемыми значениями на </w:t>
            </w:r>
            <w:r w:rsidRPr="000B0E75">
              <w:rPr>
                <w:sz w:val="26"/>
                <w:szCs w:val="26"/>
              </w:rPr>
              <w:lastRenderedPageBreak/>
              <w:t>конец периода реализации подпрограммы МП)</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457699" w:rsidRPr="000B0E75" w:rsidRDefault="00457699" w:rsidP="00DC5F53">
            <w:pPr>
              <w:autoSpaceDE w:val="0"/>
              <w:autoSpaceDN w:val="0"/>
              <w:adjustRightInd w:val="0"/>
              <w:rPr>
                <w:rFonts w:eastAsiaTheme="minorHAnsi"/>
                <w:sz w:val="26"/>
                <w:szCs w:val="26"/>
                <w:lang w:eastAsia="en-US"/>
              </w:rPr>
            </w:pPr>
            <w:r w:rsidRPr="000B0E75">
              <w:rPr>
                <w:rFonts w:eastAsiaTheme="minorHAnsi"/>
                <w:sz w:val="26"/>
                <w:szCs w:val="26"/>
                <w:lang w:eastAsia="en-US"/>
              </w:rPr>
              <w:lastRenderedPageBreak/>
              <w:t>- получение проектной документации 7 ед. в 2025 г.;</w:t>
            </w:r>
          </w:p>
          <w:p w:rsidR="00457699" w:rsidRPr="000B0E75" w:rsidRDefault="00457699" w:rsidP="00DC5F53">
            <w:pPr>
              <w:autoSpaceDE w:val="0"/>
              <w:autoSpaceDN w:val="0"/>
              <w:adjustRightInd w:val="0"/>
              <w:rPr>
                <w:rFonts w:eastAsiaTheme="minorHAnsi"/>
                <w:sz w:val="26"/>
                <w:szCs w:val="26"/>
                <w:lang w:eastAsia="en-US"/>
              </w:rPr>
            </w:pPr>
            <w:r w:rsidRPr="000B0E75">
              <w:rPr>
                <w:rFonts w:eastAsiaTheme="minorHAnsi"/>
                <w:sz w:val="26"/>
                <w:szCs w:val="26"/>
                <w:lang w:eastAsia="en-US"/>
              </w:rPr>
              <w:t>- количество строений, с выполненным ремонтом по сохранению у</w:t>
            </w:r>
            <w:r w:rsidR="007D4000" w:rsidRPr="000B0E75">
              <w:rPr>
                <w:rFonts w:eastAsiaTheme="minorHAnsi"/>
                <w:sz w:val="26"/>
                <w:szCs w:val="26"/>
                <w:lang w:eastAsia="en-US"/>
              </w:rPr>
              <w:t>стойчивости жилищного фонда – 11</w:t>
            </w:r>
            <w:r w:rsidRPr="000B0E75">
              <w:rPr>
                <w:rFonts w:eastAsiaTheme="minorHAnsi"/>
                <w:sz w:val="26"/>
                <w:szCs w:val="26"/>
                <w:lang w:eastAsia="en-US"/>
              </w:rPr>
              <w:t xml:space="preserve"> строений в 2025 г.;</w:t>
            </w:r>
          </w:p>
          <w:p w:rsidR="00457699" w:rsidRPr="000B0E75" w:rsidRDefault="00457699" w:rsidP="00DC5F53">
            <w:pPr>
              <w:autoSpaceDE w:val="0"/>
              <w:autoSpaceDN w:val="0"/>
              <w:adjustRightInd w:val="0"/>
              <w:rPr>
                <w:rFonts w:eastAsiaTheme="minorHAnsi"/>
                <w:sz w:val="26"/>
                <w:szCs w:val="26"/>
                <w:lang w:eastAsia="en-US"/>
              </w:rPr>
            </w:pPr>
            <w:r w:rsidRPr="000B0E75">
              <w:rPr>
                <w:rFonts w:eastAsiaTheme="minorHAnsi"/>
                <w:sz w:val="26"/>
                <w:szCs w:val="26"/>
                <w:lang w:eastAsia="en-US"/>
              </w:rPr>
              <w:lastRenderedPageBreak/>
              <w:t>- доля МКД, в которых установлены пластинчатые теплообменники – 2,7% в 2025 г.;</w:t>
            </w:r>
          </w:p>
          <w:p w:rsidR="00457699" w:rsidRPr="000B0E75" w:rsidRDefault="00457699" w:rsidP="00DC5F53">
            <w:pPr>
              <w:autoSpaceDE w:val="0"/>
              <w:autoSpaceDN w:val="0"/>
              <w:adjustRightInd w:val="0"/>
              <w:rPr>
                <w:rFonts w:eastAsiaTheme="minorHAnsi"/>
                <w:sz w:val="26"/>
                <w:szCs w:val="26"/>
                <w:lang w:eastAsia="en-US"/>
              </w:rPr>
            </w:pPr>
            <w:r w:rsidRPr="000B0E75">
              <w:rPr>
                <w:rFonts w:eastAsiaTheme="minorHAnsi"/>
                <w:sz w:val="26"/>
                <w:szCs w:val="26"/>
                <w:lang w:eastAsia="en-US"/>
              </w:rPr>
              <w:t xml:space="preserve">- количество МКД, в которых выполнены работы по установке системы автоматизации теплового пункта – 10 строений в 2025 г.; </w:t>
            </w:r>
          </w:p>
          <w:p w:rsidR="00457699" w:rsidRPr="000B0E75" w:rsidRDefault="00457699" w:rsidP="00DC5F53">
            <w:pPr>
              <w:autoSpaceDE w:val="0"/>
              <w:autoSpaceDN w:val="0"/>
              <w:adjustRightInd w:val="0"/>
              <w:rPr>
                <w:rFonts w:eastAsiaTheme="minorHAnsi"/>
                <w:sz w:val="26"/>
                <w:szCs w:val="26"/>
                <w:lang w:eastAsia="en-US"/>
              </w:rPr>
            </w:pPr>
            <w:r w:rsidRPr="000B0E75">
              <w:rPr>
                <w:rFonts w:eastAsiaTheme="minorHAnsi"/>
                <w:sz w:val="26"/>
                <w:szCs w:val="26"/>
                <w:lang w:eastAsia="en-US"/>
              </w:rPr>
              <w:t xml:space="preserve">- протяженность магистральных коллекторов, на которых выполнены работы по капитальному ремонту – 3 464 </w:t>
            </w:r>
            <w:proofErr w:type="spellStart"/>
            <w:r w:rsidRPr="000B0E75">
              <w:rPr>
                <w:rFonts w:eastAsiaTheme="minorHAnsi"/>
                <w:sz w:val="26"/>
                <w:szCs w:val="26"/>
                <w:lang w:eastAsia="en-US"/>
              </w:rPr>
              <w:t>п.м</w:t>
            </w:r>
            <w:proofErr w:type="spellEnd"/>
            <w:r w:rsidRPr="000B0E75">
              <w:rPr>
                <w:rFonts w:eastAsiaTheme="minorHAnsi"/>
                <w:sz w:val="26"/>
                <w:szCs w:val="26"/>
                <w:lang w:eastAsia="en-US"/>
              </w:rPr>
              <w:t>. в 2025 г.;</w:t>
            </w:r>
          </w:p>
          <w:p w:rsidR="00457699" w:rsidRPr="000B0E75" w:rsidRDefault="00457699" w:rsidP="00DC5F53">
            <w:pPr>
              <w:autoSpaceDE w:val="0"/>
              <w:adjustRightInd w:val="0"/>
              <w:rPr>
                <w:sz w:val="26"/>
                <w:szCs w:val="26"/>
              </w:rPr>
            </w:pPr>
            <w:r w:rsidRPr="000B0E75">
              <w:rPr>
                <w:rFonts w:eastAsiaTheme="minorHAnsi"/>
                <w:sz w:val="26"/>
                <w:szCs w:val="26"/>
                <w:lang w:eastAsia="en-US"/>
              </w:rPr>
              <w:t>- доля МКД, на которых восстановлена кровля, находящаяся в крайне неудовлетворительном состоянии – 100% в 2025 г.</w:t>
            </w:r>
          </w:p>
        </w:tc>
      </w:tr>
    </w:tbl>
    <w:p w:rsidR="00457699" w:rsidRPr="000B0E75" w:rsidRDefault="00457699" w:rsidP="00457699">
      <w:pPr>
        <w:autoSpaceDE w:val="0"/>
        <w:adjustRightInd w:val="0"/>
        <w:jc w:val="both"/>
        <w:rPr>
          <w:sz w:val="26"/>
          <w:szCs w:val="26"/>
        </w:rPr>
      </w:pPr>
    </w:p>
    <w:p w:rsidR="00457699" w:rsidRPr="000B0E75" w:rsidRDefault="00457699" w:rsidP="00457699">
      <w:pPr>
        <w:autoSpaceDE w:val="0"/>
        <w:adjustRightInd w:val="0"/>
        <w:spacing w:after="240"/>
        <w:jc w:val="center"/>
        <w:outlineLvl w:val="0"/>
        <w:rPr>
          <w:sz w:val="26"/>
          <w:szCs w:val="26"/>
        </w:rPr>
      </w:pPr>
      <w:r w:rsidRPr="000B0E75">
        <w:rPr>
          <w:bCs/>
          <w:sz w:val="26"/>
          <w:szCs w:val="26"/>
        </w:rPr>
        <w:t>2. ТЕКУЩЕЕ СОСТОЯНИЕ</w:t>
      </w:r>
    </w:p>
    <w:p w:rsidR="00457699" w:rsidRPr="000B0E75" w:rsidRDefault="00457699" w:rsidP="00457699">
      <w:pPr>
        <w:autoSpaceDE w:val="0"/>
        <w:adjustRightInd w:val="0"/>
        <w:ind w:firstLine="709"/>
        <w:jc w:val="both"/>
        <w:rPr>
          <w:sz w:val="26"/>
          <w:szCs w:val="26"/>
        </w:rPr>
      </w:pPr>
      <w:r w:rsidRPr="000B0E75">
        <w:rPr>
          <w:sz w:val="26"/>
          <w:szCs w:val="26"/>
        </w:rPr>
        <w:t>Правила и нормы технической эксплуатации жилищного фонда определяют перечень и состав работ по содержанию и ремонту жилищного фонда, обеспечивающих сохранность жилищного фонда и поддержание технических характеристик конструктивных элементов, инженерных систем в соответствии с нормативными требованиями. Своевременное проведение капитального ремонта - важный фактор сохранения технических характеристик жилищного фонда на уровне нормативных требований.</w:t>
      </w:r>
    </w:p>
    <w:p w:rsidR="00457699" w:rsidRPr="000B0E75" w:rsidRDefault="00457699" w:rsidP="00457699">
      <w:pPr>
        <w:autoSpaceDE w:val="0"/>
        <w:adjustRightInd w:val="0"/>
        <w:ind w:firstLine="709"/>
        <w:jc w:val="both"/>
        <w:rPr>
          <w:sz w:val="26"/>
          <w:szCs w:val="26"/>
        </w:rPr>
      </w:pPr>
      <w:r w:rsidRPr="000B0E75">
        <w:rPr>
          <w:sz w:val="26"/>
          <w:szCs w:val="26"/>
        </w:rPr>
        <w:t>Многоквартирные дома, подлежащие капитальному ремонту, определяются по результатам сезонных технических осмотров и рекомендаций управляющих организаций.</w:t>
      </w:r>
    </w:p>
    <w:p w:rsidR="00457699" w:rsidRPr="000B0E75" w:rsidRDefault="00457699" w:rsidP="00457699">
      <w:pPr>
        <w:autoSpaceDE w:val="0"/>
        <w:adjustRightInd w:val="0"/>
        <w:ind w:firstLine="709"/>
        <w:jc w:val="both"/>
        <w:rPr>
          <w:sz w:val="26"/>
          <w:szCs w:val="26"/>
        </w:rPr>
      </w:pPr>
      <w:r w:rsidRPr="000B0E75">
        <w:rPr>
          <w:sz w:val="26"/>
          <w:szCs w:val="26"/>
        </w:rPr>
        <w:t xml:space="preserve">Приоритетными являются работы, направленные на обеспечение безопасности и исключение аварийных ситуаций </w:t>
      </w:r>
      <w:r w:rsidR="00AE4F75">
        <w:rPr>
          <w:sz w:val="26"/>
          <w:szCs w:val="26"/>
        </w:rPr>
        <w:t xml:space="preserve">в </w:t>
      </w:r>
      <w:r w:rsidRPr="000B0E75">
        <w:rPr>
          <w:sz w:val="26"/>
          <w:szCs w:val="26"/>
        </w:rPr>
        <w:t>жилищном фонде муниципального образования город Норильск, сохранение параметров технических характеристик многоквартирных домов.</w:t>
      </w:r>
    </w:p>
    <w:p w:rsidR="00457699" w:rsidRPr="000B0E75" w:rsidRDefault="00457699" w:rsidP="00457699">
      <w:pPr>
        <w:autoSpaceDE w:val="0"/>
        <w:adjustRightInd w:val="0"/>
        <w:ind w:firstLine="709"/>
        <w:jc w:val="both"/>
        <w:rPr>
          <w:sz w:val="26"/>
          <w:szCs w:val="26"/>
        </w:rPr>
      </w:pPr>
      <w:r w:rsidRPr="000B0E75">
        <w:rPr>
          <w:sz w:val="26"/>
          <w:szCs w:val="26"/>
        </w:rPr>
        <w:t xml:space="preserve">На территории муниципального образования город Норильск по подпрограмме 4 </w:t>
      </w:r>
      <w:r w:rsidRPr="000B0E75">
        <w:rPr>
          <w:bCs/>
          <w:sz w:val="26"/>
          <w:szCs w:val="26"/>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реализуются</w:t>
      </w:r>
      <w:r w:rsidRPr="000B0E75">
        <w:rPr>
          <w:sz w:val="26"/>
          <w:szCs w:val="26"/>
        </w:rPr>
        <w:t xml:space="preserve"> мероприятия по «Сохранению устойчивости зданий жилищного фонда» (в данные работы не входит мероприятие по термостабилизации грунтов под МКД), «Проектные работы», «Работы по установке пластинчатых теплообменников», «Устройство системы пожарной сигнализации и системы оповещения», «Работы по установке систем автоматизации теплового пункта», «Капитальный ремонт крыши (металлическая кровля)», «Ремонт и окраска фасадов», «Капитальный ремонт крыши (мягкая кровля)», «Восстановление аварийных участков наружных стен МКД», «Замена междуэтажных, цокольных, чердачных деревянных перекрытий», по «Работы по капитальному ремонту на объектах коммунальной инфраструктуры, закрепленных за муниципальным унитарным предприятием муниципального образования город Норильск «Коммунальные объединенные системы» на праве хозяйственного ведения, находящихся в собственности муниципального образования город Норильск», финансируемые из средств местного бюджета.</w:t>
      </w:r>
    </w:p>
    <w:p w:rsidR="00457699" w:rsidRPr="000B0E75" w:rsidRDefault="00457699" w:rsidP="00457699">
      <w:pPr>
        <w:autoSpaceDE w:val="0"/>
        <w:adjustRightInd w:val="0"/>
        <w:ind w:firstLine="709"/>
        <w:jc w:val="both"/>
        <w:rPr>
          <w:sz w:val="26"/>
          <w:szCs w:val="26"/>
        </w:rPr>
      </w:pPr>
      <w:r w:rsidRPr="000B0E75">
        <w:rPr>
          <w:sz w:val="26"/>
          <w:szCs w:val="26"/>
        </w:rPr>
        <w:t xml:space="preserve">Для целей применения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под </w:t>
      </w:r>
      <w:r w:rsidRPr="000B0E75">
        <w:rPr>
          <w:sz w:val="26"/>
          <w:szCs w:val="26"/>
        </w:rPr>
        <w:lastRenderedPageBreak/>
        <w:t xml:space="preserve">объектами жилищного фонда понимаются многоквартирные дома, расположенные на территории муниципального образования город Норильск, не признанные в установленном порядке аварийными и подлежащими сносу. В то же время на территории Норильска 20 процентов от общего количества жилищного фонда составляют дома с ограждающими конструкциями из стеновых панелей из материалов, выработавших свой ресурс, в связи с чем при проведении технического обследования регулярно выявляются разрушения железобетонных несущих конструкций. По этой причине, а в основном из-за разрушения цокольных плит перекрытия, отдельные квартиры в МКД признаются непригодными для проживания, жителям предоставляются квартиры в маневренном жилищном фонде, а бюджет города возмещает расходы управляющим организациям по оплате жилищно-коммунальных услуг по данным квартирам. Работы по сохранению устойчивости жилищного фонда выполнены </w:t>
      </w:r>
      <w:r w:rsidR="005C039A" w:rsidRPr="000B0E75">
        <w:rPr>
          <w:sz w:val="26"/>
          <w:szCs w:val="26"/>
        </w:rPr>
        <w:t>в 2024 году на 29 объектах.</w:t>
      </w:r>
    </w:p>
    <w:p w:rsidR="005C039A" w:rsidRPr="000B0E75" w:rsidRDefault="00457699" w:rsidP="005C039A">
      <w:pPr>
        <w:autoSpaceDE w:val="0"/>
        <w:adjustRightInd w:val="0"/>
        <w:ind w:firstLine="709"/>
        <w:jc w:val="both"/>
        <w:rPr>
          <w:sz w:val="26"/>
          <w:szCs w:val="26"/>
        </w:rPr>
      </w:pPr>
      <w:r w:rsidRPr="000B0E75">
        <w:rPr>
          <w:sz w:val="26"/>
          <w:szCs w:val="26"/>
        </w:rPr>
        <w:t xml:space="preserve">В соответствии с требованиями статьи 49 Градостроительного кодекса и Постановления Правительства Российской Федерации от 05.03.2007 №145 в муниципальную программу капитального ремонта включено мероприятие «Проектные работы». В </w:t>
      </w:r>
      <w:r w:rsidR="005C039A" w:rsidRPr="000B0E75">
        <w:rPr>
          <w:sz w:val="26"/>
          <w:szCs w:val="26"/>
        </w:rPr>
        <w:t>2024 году разработано 19 проектов.</w:t>
      </w:r>
    </w:p>
    <w:p w:rsidR="00457699" w:rsidRPr="000B0E75" w:rsidRDefault="00457699" w:rsidP="00457699">
      <w:pPr>
        <w:autoSpaceDE w:val="0"/>
        <w:autoSpaceDN w:val="0"/>
        <w:adjustRightInd w:val="0"/>
        <w:ind w:firstLine="709"/>
        <w:jc w:val="both"/>
        <w:rPr>
          <w:rFonts w:eastAsiaTheme="minorHAnsi"/>
          <w:sz w:val="26"/>
          <w:szCs w:val="26"/>
          <w:lang w:eastAsia="en-US"/>
        </w:rPr>
      </w:pPr>
      <w:r w:rsidRPr="000B0E75">
        <w:rPr>
          <w:sz w:val="26"/>
          <w:szCs w:val="26"/>
        </w:rPr>
        <w:t>Также для целей применения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в мероприятие</w:t>
      </w:r>
      <w:r w:rsidRPr="000B0E75">
        <w:rPr>
          <w:rFonts w:eastAsiaTheme="minorHAnsi"/>
          <w:sz w:val="26"/>
          <w:szCs w:val="26"/>
          <w:lang w:eastAsia="en-US"/>
        </w:rPr>
        <w:t xml:space="preserve"> </w:t>
      </w:r>
      <w:r w:rsidRPr="000B0E75">
        <w:rPr>
          <w:sz w:val="26"/>
          <w:szCs w:val="26"/>
        </w:rPr>
        <w:t>«Работы по капитальному ремонту на объектах коммунальной инфраструктуры, закрепленных за муниципальным унитарным предприятием муниципального образования город Норильск «Коммунальные объединенные системы» на праве хозяйственного ведения, находящихся в собственности муниципального образования город Норильск»</w:t>
      </w:r>
      <w:r w:rsidRPr="000B0E75">
        <w:rPr>
          <w:rFonts w:eastAsiaTheme="minorHAnsi"/>
          <w:sz w:val="26"/>
          <w:szCs w:val="26"/>
          <w:lang w:eastAsia="en-US"/>
        </w:rPr>
        <w:t xml:space="preserve">, </w:t>
      </w:r>
      <w:r w:rsidRPr="000B0E75">
        <w:rPr>
          <w:sz w:val="26"/>
          <w:szCs w:val="26"/>
        </w:rPr>
        <w:t xml:space="preserve">включен перечень объектов </w:t>
      </w:r>
      <w:r w:rsidRPr="000B0E75">
        <w:rPr>
          <w:rFonts w:eastAsiaTheme="minorHAnsi"/>
          <w:sz w:val="26"/>
          <w:szCs w:val="26"/>
          <w:lang w:eastAsia="en-US"/>
        </w:rPr>
        <w:t>коммунальной инфраструктуры, закрепленных на праве хозяйственного ведения за муниципальным унитарным предприятием муниципального образования город Норильск «Коммунальные объединенные системы», сформированный с учетом оценки фактического технического состояния объектов по данным их сезонных осмотров.</w:t>
      </w:r>
    </w:p>
    <w:p w:rsidR="00457699" w:rsidRPr="000B0E75" w:rsidRDefault="00457699" w:rsidP="00457699">
      <w:pPr>
        <w:autoSpaceDE w:val="0"/>
        <w:adjustRightInd w:val="0"/>
        <w:spacing w:before="240" w:after="240"/>
        <w:ind w:firstLine="709"/>
        <w:jc w:val="center"/>
        <w:outlineLvl w:val="0"/>
        <w:rPr>
          <w:bCs/>
          <w:sz w:val="26"/>
          <w:szCs w:val="26"/>
        </w:rPr>
      </w:pPr>
      <w:r w:rsidRPr="000B0E75">
        <w:rPr>
          <w:bCs/>
          <w:sz w:val="26"/>
          <w:szCs w:val="26"/>
        </w:rPr>
        <w:t>3. ЦЕЛИ И ЗАДАЧИ ПОДПРОГРАММЫ МП</w:t>
      </w:r>
    </w:p>
    <w:p w:rsidR="00457699" w:rsidRPr="000B0E75" w:rsidRDefault="00457699" w:rsidP="00457699">
      <w:pPr>
        <w:autoSpaceDE w:val="0"/>
        <w:adjustRightInd w:val="0"/>
        <w:ind w:firstLine="709"/>
        <w:jc w:val="both"/>
        <w:rPr>
          <w:sz w:val="26"/>
          <w:szCs w:val="26"/>
        </w:rPr>
      </w:pPr>
      <w:r w:rsidRPr="000B0E75">
        <w:rPr>
          <w:sz w:val="26"/>
          <w:szCs w:val="26"/>
        </w:rPr>
        <w:t>Целью подпрограммы является обеспечение надежной эксплуатации жилищного фонда, объектов коммунальной инфраструктуры.</w:t>
      </w:r>
    </w:p>
    <w:p w:rsidR="00457699" w:rsidRPr="000B0E75" w:rsidRDefault="00457699" w:rsidP="00457699">
      <w:pPr>
        <w:autoSpaceDE w:val="0"/>
        <w:adjustRightInd w:val="0"/>
        <w:ind w:firstLine="709"/>
        <w:jc w:val="both"/>
        <w:rPr>
          <w:sz w:val="26"/>
          <w:szCs w:val="26"/>
        </w:rPr>
      </w:pPr>
      <w:r w:rsidRPr="000B0E75">
        <w:rPr>
          <w:sz w:val="26"/>
          <w:szCs w:val="26"/>
        </w:rPr>
        <w:t>Для достижения поставленной цели необходимо решение следующих задач:</w:t>
      </w:r>
    </w:p>
    <w:p w:rsidR="00457699" w:rsidRPr="000B0E75" w:rsidRDefault="00457699" w:rsidP="00457699">
      <w:pPr>
        <w:autoSpaceDE w:val="0"/>
        <w:adjustRightInd w:val="0"/>
        <w:ind w:firstLine="709"/>
        <w:jc w:val="both"/>
        <w:rPr>
          <w:sz w:val="26"/>
          <w:szCs w:val="26"/>
        </w:rPr>
      </w:pPr>
      <w:r w:rsidRPr="000B0E75">
        <w:rPr>
          <w:sz w:val="26"/>
          <w:szCs w:val="26"/>
        </w:rPr>
        <w:t>Задача 1. Создание условий для приведения жилищного фонда в соответствие стандартам качества, обеспечивающим надежную эксплуатацию многоквартирных домов.</w:t>
      </w:r>
    </w:p>
    <w:p w:rsidR="00457699" w:rsidRPr="000B0E75" w:rsidRDefault="00457699" w:rsidP="00457699">
      <w:pPr>
        <w:autoSpaceDE w:val="0"/>
        <w:adjustRightInd w:val="0"/>
        <w:ind w:firstLine="709"/>
        <w:jc w:val="both"/>
        <w:rPr>
          <w:sz w:val="26"/>
          <w:szCs w:val="26"/>
        </w:rPr>
      </w:pPr>
      <w:r w:rsidRPr="000B0E75">
        <w:rPr>
          <w:sz w:val="26"/>
          <w:szCs w:val="26"/>
        </w:rPr>
        <w:t>Задача 2. Сохранение жилищного фонда муниципального образования город Норильск.</w:t>
      </w:r>
    </w:p>
    <w:p w:rsidR="00457699" w:rsidRPr="000B0E75" w:rsidRDefault="00457699" w:rsidP="00457699">
      <w:pPr>
        <w:autoSpaceDE w:val="0"/>
        <w:autoSpaceDN w:val="0"/>
        <w:adjustRightInd w:val="0"/>
        <w:ind w:firstLine="709"/>
        <w:jc w:val="both"/>
        <w:rPr>
          <w:rFonts w:eastAsiaTheme="minorHAnsi"/>
          <w:sz w:val="26"/>
          <w:szCs w:val="26"/>
          <w:lang w:eastAsia="en-US"/>
        </w:rPr>
      </w:pPr>
      <w:r w:rsidRPr="000B0E75">
        <w:rPr>
          <w:sz w:val="26"/>
          <w:szCs w:val="26"/>
        </w:rPr>
        <w:t>Задача 3. Г</w:t>
      </w:r>
      <w:r w:rsidRPr="000B0E75">
        <w:rPr>
          <w:rFonts w:eastAsiaTheme="minorHAnsi"/>
          <w:sz w:val="26"/>
          <w:szCs w:val="26"/>
          <w:lang w:eastAsia="en-US"/>
        </w:rPr>
        <w:t>отовность объектов коммунальной инфраструктуры для предоставления коммунальных услуг потребителям.</w:t>
      </w:r>
    </w:p>
    <w:p w:rsidR="00457699" w:rsidRPr="000B0E75" w:rsidRDefault="00457699" w:rsidP="00457699">
      <w:pPr>
        <w:autoSpaceDE w:val="0"/>
        <w:adjustRightInd w:val="0"/>
        <w:ind w:firstLine="709"/>
        <w:jc w:val="both"/>
        <w:rPr>
          <w:sz w:val="26"/>
          <w:szCs w:val="26"/>
        </w:rPr>
      </w:pPr>
    </w:p>
    <w:p w:rsidR="00457699" w:rsidRPr="000B0E75" w:rsidRDefault="00457699" w:rsidP="00457699">
      <w:pPr>
        <w:autoSpaceDE w:val="0"/>
        <w:adjustRightInd w:val="0"/>
        <w:spacing w:after="240"/>
        <w:ind w:firstLine="709"/>
        <w:jc w:val="center"/>
        <w:outlineLvl w:val="0"/>
        <w:rPr>
          <w:sz w:val="26"/>
          <w:szCs w:val="26"/>
        </w:rPr>
      </w:pPr>
      <w:r w:rsidRPr="000B0E75">
        <w:rPr>
          <w:bCs/>
          <w:sz w:val="26"/>
          <w:szCs w:val="26"/>
        </w:rPr>
        <w:t>4. МЕХАНИЗМ РЕАЛИЗАЦИИ ПОДПРОГРАММЫ МП</w:t>
      </w:r>
    </w:p>
    <w:p w:rsidR="00457699" w:rsidRPr="000B0E75" w:rsidRDefault="00457699" w:rsidP="00457699">
      <w:pPr>
        <w:autoSpaceDE w:val="0"/>
        <w:adjustRightInd w:val="0"/>
        <w:ind w:firstLine="709"/>
        <w:jc w:val="both"/>
        <w:rPr>
          <w:sz w:val="26"/>
          <w:szCs w:val="26"/>
        </w:rPr>
      </w:pPr>
      <w:r w:rsidRPr="000B0E75">
        <w:rPr>
          <w:sz w:val="26"/>
          <w:szCs w:val="26"/>
        </w:rPr>
        <w:t xml:space="preserve">4.1. Главным распорядителем средств бюджета муниципального образования город Норильск, предусмотренных на реализацию мероприятий подпрограммы, </w:t>
      </w:r>
      <w:r w:rsidRPr="000B0E75">
        <w:rPr>
          <w:sz w:val="26"/>
          <w:szCs w:val="26"/>
        </w:rPr>
        <w:lastRenderedPageBreak/>
        <w:t>является Управление городского хозяйства Администрации города Норильска (МКУ «УЖКХ»).</w:t>
      </w:r>
    </w:p>
    <w:p w:rsidR="00457699" w:rsidRPr="000B0E75" w:rsidRDefault="00457699" w:rsidP="00457699">
      <w:pPr>
        <w:autoSpaceDE w:val="0"/>
        <w:adjustRightInd w:val="0"/>
        <w:ind w:firstLine="709"/>
        <w:jc w:val="both"/>
        <w:rPr>
          <w:spacing w:val="-6"/>
          <w:sz w:val="26"/>
          <w:szCs w:val="26"/>
        </w:rPr>
      </w:pPr>
      <w:r w:rsidRPr="000B0E75">
        <w:rPr>
          <w:spacing w:val="-6"/>
          <w:sz w:val="26"/>
          <w:szCs w:val="26"/>
        </w:rPr>
        <w:t xml:space="preserve">4.2. Реализация подпрограммы 4 </w:t>
      </w:r>
      <w:r w:rsidRPr="000B0E75">
        <w:rPr>
          <w:bCs/>
          <w:spacing w:val="-6"/>
          <w:sz w:val="26"/>
          <w:szCs w:val="26"/>
        </w:rPr>
        <w:t xml:space="preserve">«Ремонт,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w:t>
      </w:r>
      <w:r w:rsidRPr="000B0E75">
        <w:rPr>
          <w:spacing w:val="-6"/>
          <w:sz w:val="26"/>
          <w:szCs w:val="26"/>
        </w:rPr>
        <w:t>в том числе:</w:t>
      </w:r>
    </w:p>
    <w:p w:rsidR="00457699" w:rsidRPr="000B0E75" w:rsidRDefault="00457699" w:rsidP="00457699">
      <w:pPr>
        <w:autoSpaceDE w:val="0"/>
        <w:adjustRightInd w:val="0"/>
        <w:ind w:firstLine="709"/>
        <w:jc w:val="both"/>
        <w:rPr>
          <w:spacing w:val="-6"/>
          <w:sz w:val="26"/>
          <w:szCs w:val="26"/>
        </w:rPr>
      </w:pPr>
      <w:r w:rsidRPr="000B0E75">
        <w:rPr>
          <w:spacing w:val="-6"/>
          <w:sz w:val="26"/>
          <w:szCs w:val="26"/>
        </w:rPr>
        <w:t xml:space="preserve">4.2.1. Раздела подпрограммы «Ремонт общего имущества многоквартирных домов управляющими организациями», включающего мероприятия: «Сохранение устойчивости зданий жилищного фонда» (в данные работы не входит мероприятие по термостабилизации грунтов под МКД), «Проектные работы», «Работы по установке пластинчатых теплообменников», «Работы по установке систем автоматизации теплового пункта», </w:t>
      </w:r>
      <w:r w:rsidRPr="000B0E75">
        <w:rPr>
          <w:sz w:val="26"/>
          <w:szCs w:val="26"/>
        </w:rPr>
        <w:t>«</w:t>
      </w:r>
      <w:r w:rsidRPr="000B0E75">
        <w:rPr>
          <w:spacing w:val="-6"/>
          <w:sz w:val="26"/>
          <w:szCs w:val="26"/>
        </w:rPr>
        <w:t>Капитальный ремонт крыши (металлическая кровля)», «Ремонт и окраска фасадов», «Капитальный ремонт крыши (мягкая кровля)», «Восстановление аварийных участков наружных стен МКД», «Замена междуэтажных, цокольных, чердачных деревянных перекрытий», осуществляется в соответствии с Постановлением Администрации города Норильска от 19.06.2009 № 303 «Об утверждении Порядка предоставления из средств местного бюджета управляющим организациям, товариществам собственников жилья субсидии на финансовое обеспечение затрат по проведению капитального ремонта многоквартирных домов жилищного фонда муниципального образования город Норильск».</w:t>
      </w:r>
    </w:p>
    <w:p w:rsidR="00457699" w:rsidRPr="000B0E75" w:rsidRDefault="00457699" w:rsidP="00457699">
      <w:pPr>
        <w:autoSpaceDE w:val="0"/>
        <w:adjustRightInd w:val="0"/>
        <w:ind w:firstLine="709"/>
        <w:jc w:val="both"/>
        <w:rPr>
          <w:sz w:val="26"/>
          <w:szCs w:val="26"/>
        </w:rPr>
      </w:pPr>
      <w:r w:rsidRPr="000B0E75">
        <w:rPr>
          <w:sz w:val="26"/>
          <w:szCs w:val="26"/>
        </w:rPr>
        <w:t>В соответствии с данным Порядком получателями субсидий являются управляющие организации, товарищества собственников жилья. Субсидии выделяются в целях создания равных условий для управления многоквартирными домами.</w:t>
      </w:r>
    </w:p>
    <w:p w:rsidR="00457699" w:rsidRPr="000B0E75" w:rsidRDefault="00457699" w:rsidP="00457699">
      <w:pPr>
        <w:autoSpaceDE w:val="0"/>
        <w:adjustRightInd w:val="0"/>
        <w:ind w:firstLine="709"/>
        <w:jc w:val="both"/>
        <w:rPr>
          <w:sz w:val="26"/>
          <w:szCs w:val="26"/>
        </w:rPr>
      </w:pPr>
      <w:r w:rsidRPr="000B0E75">
        <w:rPr>
          <w:sz w:val="26"/>
          <w:szCs w:val="26"/>
        </w:rPr>
        <w:t>В рамках субсидий, предусмотренных бюджетом муниципального образования город Норильск на соответствующий финансовый год, разрабатывается проект сводного титульного списка, включающего в себя информацию по каждому многоквартирному дому, виды капитального ремонта, стоимость и источники финансирования.</w:t>
      </w:r>
    </w:p>
    <w:p w:rsidR="00457699" w:rsidRPr="000B0E75" w:rsidRDefault="00457699" w:rsidP="00457699">
      <w:pPr>
        <w:autoSpaceDE w:val="0"/>
        <w:adjustRightInd w:val="0"/>
        <w:ind w:firstLine="709"/>
        <w:jc w:val="both"/>
        <w:rPr>
          <w:sz w:val="26"/>
          <w:szCs w:val="26"/>
        </w:rPr>
      </w:pPr>
      <w:r w:rsidRPr="000B0E75">
        <w:rPr>
          <w:sz w:val="26"/>
          <w:szCs w:val="26"/>
        </w:rPr>
        <w:t>Сводный титульный список формируется с учетом оценки фактического технического состояния объектов капитального ремонта общего имущества многоквартирных домов по результатам их сезонных осмотров и учитывает физический износ и нормативный срок эффективной эксплуатации конструктивных элементов зданий и инженерного оборудования многоквартирных домов.</w:t>
      </w:r>
    </w:p>
    <w:p w:rsidR="00457699" w:rsidRPr="000B0E75" w:rsidRDefault="00457699" w:rsidP="00457699">
      <w:pPr>
        <w:autoSpaceDE w:val="0"/>
        <w:adjustRightInd w:val="0"/>
        <w:ind w:firstLine="709"/>
        <w:jc w:val="both"/>
        <w:rPr>
          <w:sz w:val="26"/>
          <w:szCs w:val="26"/>
        </w:rPr>
      </w:pPr>
      <w:r w:rsidRPr="000B0E75">
        <w:rPr>
          <w:sz w:val="26"/>
          <w:szCs w:val="26"/>
        </w:rPr>
        <w:t>Проект сводного титульного списка выносится на рассмотрение и утверждение комиссии по городскому хозяйству Норильского городского Совета депутатов.</w:t>
      </w:r>
    </w:p>
    <w:p w:rsidR="00457699" w:rsidRPr="000B0E75" w:rsidRDefault="00457699" w:rsidP="00457699">
      <w:pPr>
        <w:autoSpaceDE w:val="0"/>
        <w:adjustRightInd w:val="0"/>
        <w:ind w:firstLine="709"/>
        <w:jc w:val="both"/>
        <w:rPr>
          <w:sz w:val="26"/>
          <w:szCs w:val="26"/>
        </w:rPr>
      </w:pPr>
      <w:r w:rsidRPr="000B0E75">
        <w:rPr>
          <w:sz w:val="26"/>
          <w:szCs w:val="26"/>
        </w:rPr>
        <w:t>На основании утвержденного решением комиссии по городскому хозяйству Норильского городского Совета депутатов сводного титульного списка распоряжением Администрации города Норильска осуществляется распределение субсидий по управляющим организациям, ТСЖ. В соответствии с данным распоряжением заключаются с управляющими организациями, ТСЖ договоры на предоставление субсидий из средств местного бюджета на обеспечение затрат по капитальному ремонту многоквартирных домов.</w:t>
      </w:r>
    </w:p>
    <w:p w:rsidR="00457699" w:rsidRPr="000B0E75" w:rsidRDefault="00457699" w:rsidP="00457699">
      <w:pPr>
        <w:autoSpaceDE w:val="0"/>
        <w:adjustRightInd w:val="0"/>
        <w:ind w:firstLine="709"/>
        <w:jc w:val="both"/>
        <w:rPr>
          <w:sz w:val="26"/>
          <w:szCs w:val="26"/>
        </w:rPr>
      </w:pPr>
      <w:r w:rsidRPr="000B0E75">
        <w:rPr>
          <w:sz w:val="26"/>
          <w:szCs w:val="26"/>
        </w:rPr>
        <w:t xml:space="preserve">Финансирование субсидий управляющим организациям, ТСЖ в размере бюджетных ассигнований, предусмотренных на эти цели решением Норильского городского Совета депутатов о бюджете муниципального образования город Норильск на соответствующий финансовый год, осуществляется в порядке и на </w:t>
      </w:r>
      <w:r w:rsidRPr="000B0E75">
        <w:rPr>
          <w:sz w:val="26"/>
          <w:szCs w:val="26"/>
        </w:rPr>
        <w:lastRenderedPageBreak/>
        <w:t>условиях, определенных Договором, заключаемым МКУ «УЖКХ» и управляющей организацией, ТСЖ.</w:t>
      </w:r>
    </w:p>
    <w:p w:rsidR="00457699" w:rsidRPr="000B0E75" w:rsidRDefault="00457699" w:rsidP="00457699">
      <w:pPr>
        <w:autoSpaceDE w:val="0"/>
        <w:adjustRightInd w:val="0"/>
        <w:ind w:firstLine="709"/>
        <w:jc w:val="both"/>
        <w:rPr>
          <w:sz w:val="26"/>
          <w:szCs w:val="26"/>
        </w:rPr>
      </w:pPr>
      <w:r w:rsidRPr="000B0E75">
        <w:rPr>
          <w:sz w:val="26"/>
          <w:szCs w:val="26"/>
        </w:rPr>
        <w:t>Источниками финансирования мероприятий подпрограммы являются средства бюджета муниципального образования город Норильск, планируемые для достижения целей и показателей результативности подпрограммы.</w:t>
      </w:r>
    </w:p>
    <w:p w:rsidR="00457699" w:rsidRPr="000B0E75" w:rsidRDefault="00457699" w:rsidP="00457699">
      <w:pPr>
        <w:autoSpaceDE w:val="0"/>
        <w:adjustRightInd w:val="0"/>
        <w:ind w:firstLine="709"/>
        <w:jc w:val="both"/>
        <w:rPr>
          <w:spacing w:val="-6"/>
          <w:sz w:val="26"/>
          <w:szCs w:val="26"/>
        </w:rPr>
      </w:pPr>
      <w:r w:rsidRPr="000B0E75">
        <w:rPr>
          <w:sz w:val="26"/>
          <w:szCs w:val="26"/>
        </w:rPr>
        <w:t xml:space="preserve">4.2.2. </w:t>
      </w:r>
      <w:r w:rsidRPr="000B0E75">
        <w:rPr>
          <w:spacing w:val="-6"/>
          <w:sz w:val="26"/>
          <w:szCs w:val="26"/>
        </w:rPr>
        <w:t xml:space="preserve">Раздела подпрограммы «Работы по капитальному ремонту на объектах коммунальной инфраструктуры» включающего мероприятие «Работы по капитальному ремонту на объектах коммунальной инфраструктуры, закрепленных за муниципальным унитарным предприятием муниципального образования город Норильск «Коммунальные объединенные системы» на праве хозяйственного ведения, находящихся в собственности муниципального образования город Норильск» осуществляется в соответствии с постановлением Администрации города Норильска от 02.08.2019 № 336 «Об утверждении Порядка предоставления субсидии </w:t>
      </w:r>
      <w:r w:rsidRPr="000B0E75">
        <w:rPr>
          <w:bCs/>
          <w:spacing w:val="-6"/>
          <w:sz w:val="26"/>
          <w:szCs w:val="26"/>
        </w:rPr>
        <w:t>мун</w:t>
      </w:r>
      <w:r w:rsidRPr="000B0E75">
        <w:rPr>
          <w:spacing w:val="-6"/>
          <w:sz w:val="26"/>
          <w:szCs w:val="26"/>
        </w:rPr>
        <w:t>иципальному унитарному предприятию муниципального образования город Норильск «Коммунальные объединенные системы» на финансовое обеспечение затрат на выполнение работ по капитальному ремонту на объектах коммунальной инфраструктуры, закрепленных за ним на праве хозяйственного ведения, находящихся в собственности муниципального образования город Норильск».</w:t>
      </w:r>
    </w:p>
    <w:p w:rsidR="00457699" w:rsidRPr="000B0E75" w:rsidRDefault="00457699" w:rsidP="00457699">
      <w:pPr>
        <w:autoSpaceDE w:val="0"/>
        <w:adjustRightInd w:val="0"/>
        <w:ind w:firstLine="709"/>
        <w:jc w:val="both"/>
        <w:rPr>
          <w:sz w:val="26"/>
          <w:szCs w:val="26"/>
        </w:rPr>
      </w:pPr>
      <w:r w:rsidRPr="000B0E75">
        <w:rPr>
          <w:sz w:val="26"/>
          <w:szCs w:val="26"/>
        </w:rPr>
        <w:t xml:space="preserve">В соответствии с данным Порядком получателем субсидии является </w:t>
      </w:r>
      <w:proofErr w:type="spellStart"/>
      <w:proofErr w:type="gramStart"/>
      <w:r w:rsidRPr="000B0E75">
        <w:rPr>
          <w:sz w:val="26"/>
          <w:szCs w:val="26"/>
        </w:rPr>
        <w:t>ресурсоснабжающая</w:t>
      </w:r>
      <w:proofErr w:type="spellEnd"/>
      <w:proofErr w:type="gramEnd"/>
      <w:r w:rsidRPr="000B0E75">
        <w:rPr>
          <w:sz w:val="26"/>
          <w:szCs w:val="26"/>
        </w:rPr>
        <w:t xml:space="preserve"> и сетевая организация </w:t>
      </w:r>
      <w:r w:rsidRPr="000B0E75">
        <w:rPr>
          <w:spacing w:val="-6"/>
          <w:sz w:val="26"/>
          <w:szCs w:val="26"/>
        </w:rPr>
        <w:t>муниципальное унитарное предприятие муниципального образования город Норильск «Коммунальные объединенные системы» (МУП «КОС»)</w:t>
      </w:r>
      <w:r w:rsidRPr="000B0E75">
        <w:rPr>
          <w:sz w:val="26"/>
          <w:szCs w:val="26"/>
        </w:rPr>
        <w:t>.</w:t>
      </w:r>
    </w:p>
    <w:p w:rsidR="00457699" w:rsidRPr="000B0E75" w:rsidRDefault="00457699" w:rsidP="00457699">
      <w:pPr>
        <w:autoSpaceDE w:val="0"/>
        <w:adjustRightInd w:val="0"/>
        <w:ind w:firstLine="709"/>
        <w:jc w:val="both"/>
        <w:rPr>
          <w:sz w:val="26"/>
          <w:szCs w:val="26"/>
        </w:rPr>
      </w:pPr>
      <w:r w:rsidRPr="000B0E75">
        <w:rPr>
          <w:sz w:val="26"/>
          <w:szCs w:val="26"/>
        </w:rPr>
        <w:t>В рамках субсидий, предусмотренных бюджетом муниципального образования город Норильск на соответствующий финансовый год, разрабатывается проект титульного списка, включающего в себя информацию по каждому объекту коммунальной инфраструктуры</w:t>
      </w:r>
      <w:r w:rsidRPr="000B0E75">
        <w:rPr>
          <w:rFonts w:eastAsiaTheme="minorHAnsi"/>
          <w:sz w:val="26"/>
          <w:szCs w:val="26"/>
          <w:lang w:eastAsia="en-US"/>
        </w:rPr>
        <w:t>, виды ремонта, стоимость и источники финансирования</w:t>
      </w:r>
      <w:r w:rsidRPr="000B0E75">
        <w:rPr>
          <w:sz w:val="26"/>
          <w:szCs w:val="26"/>
        </w:rPr>
        <w:t>.</w:t>
      </w:r>
    </w:p>
    <w:p w:rsidR="00457699" w:rsidRPr="000B0E75" w:rsidRDefault="00457699" w:rsidP="00457699">
      <w:pPr>
        <w:autoSpaceDE w:val="0"/>
        <w:autoSpaceDN w:val="0"/>
        <w:adjustRightInd w:val="0"/>
        <w:ind w:firstLine="709"/>
        <w:jc w:val="both"/>
        <w:rPr>
          <w:rFonts w:eastAsiaTheme="minorHAnsi"/>
          <w:sz w:val="26"/>
          <w:szCs w:val="26"/>
          <w:lang w:eastAsia="en-US"/>
        </w:rPr>
      </w:pPr>
      <w:r w:rsidRPr="000B0E75">
        <w:rPr>
          <w:rFonts w:eastAsiaTheme="minorHAnsi"/>
          <w:sz w:val="26"/>
          <w:szCs w:val="26"/>
          <w:lang w:eastAsia="en-US"/>
        </w:rPr>
        <w:t>Т</w:t>
      </w:r>
      <w:r w:rsidRPr="000B0E75">
        <w:rPr>
          <w:sz w:val="26"/>
          <w:szCs w:val="26"/>
        </w:rPr>
        <w:t xml:space="preserve">итульный список формируется </w:t>
      </w:r>
      <w:r w:rsidRPr="000B0E75">
        <w:rPr>
          <w:rFonts w:eastAsiaTheme="minorHAnsi"/>
          <w:sz w:val="26"/>
          <w:szCs w:val="26"/>
          <w:lang w:eastAsia="en-US"/>
        </w:rPr>
        <w:t>с учетом оценки фактического технического состояния объектов коммунальной инфраструктуры по данным их сезонных осмотров</w:t>
      </w:r>
      <w:r w:rsidRPr="000B0E75">
        <w:rPr>
          <w:sz w:val="26"/>
          <w:szCs w:val="26"/>
        </w:rPr>
        <w:t xml:space="preserve"> и утверждается Постановлением Администрации города Норильска.</w:t>
      </w:r>
      <w:r w:rsidRPr="000B0E75">
        <w:rPr>
          <w:rFonts w:eastAsiaTheme="minorHAnsi"/>
          <w:sz w:val="26"/>
          <w:szCs w:val="26"/>
          <w:lang w:eastAsia="en-US"/>
        </w:rPr>
        <w:t xml:space="preserve"> </w:t>
      </w:r>
    </w:p>
    <w:p w:rsidR="00457699" w:rsidRPr="000B0E75" w:rsidRDefault="00457699" w:rsidP="00457699">
      <w:pPr>
        <w:autoSpaceDE w:val="0"/>
        <w:adjustRightInd w:val="0"/>
        <w:ind w:firstLine="709"/>
        <w:jc w:val="both"/>
        <w:rPr>
          <w:sz w:val="26"/>
          <w:szCs w:val="26"/>
        </w:rPr>
      </w:pPr>
      <w:r w:rsidRPr="000B0E75">
        <w:rPr>
          <w:sz w:val="26"/>
          <w:szCs w:val="26"/>
        </w:rPr>
        <w:t>Финансирование субсидий МУП «КОС» в размере бюджетных ассигнований, предусмотренных на эти цели решением Норильского городского Совета депутатов о бюджете муниципального образования город Норильск на соответствующий финансовый год, осуществляется в порядке и на условиях, определенных Договором, заключаемым МКУ «УЖКХ» и МУП «КОС».</w:t>
      </w:r>
    </w:p>
    <w:p w:rsidR="00457699" w:rsidRPr="000B0E75" w:rsidRDefault="00457699" w:rsidP="00457699">
      <w:pPr>
        <w:autoSpaceDE w:val="0"/>
        <w:adjustRightInd w:val="0"/>
        <w:ind w:firstLine="709"/>
        <w:jc w:val="center"/>
        <w:rPr>
          <w:rFonts w:eastAsiaTheme="minorHAnsi"/>
          <w:sz w:val="26"/>
          <w:szCs w:val="26"/>
          <w:lang w:eastAsia="en-US"/>
        </w:rPr>
      </w:pPr>
    </w:p>
    <w:p w:rsidR="00457699" w:rsidRPr="000B0E75" w:rsidRDefault="00457699" w:rsidP="00457699">
      <w:pPr>
        <w:autoSpaceDE w:val="0"/>
        <w:adjustRightInd w:val="0"/>
        <w:ind w:firstLine="709"/>
        <w:jc w:val="center"/>
        <w:rPr>
          <w:rFonts w:eastAsiaTheme="minorHAnsi"/>
          <w:sz w:val="26"/>
          <w:szCs w:val="26"/>
          <w:lang w:eastAsia="en-US"/>
        </w:rPr>
      </w:pPr>
      <w:r w:rsidRPr="000B0E75">
        <w:rPr>
          <w:rFonts w:eastAsiaTheme="minorHAnsi"/>
          <w:sz w:val="26"/>
          <w:szCs w:val="26"/>
          <w:lang w:eastAsia="en-US"/>
        </w:rPr>
        <w:t>5. РЕСУРСНОЕ ОБЕСПЕЧЕНИЕ ПОДПРОГРАММЫ МП</w:t>
      </w:r>
    </w:p>
    <w:p w:rsidR="00457699" w:rsidRPr="000B0E75" w:rsidRDefault="00457699" w:rsidP="00457699">
      <w:pPr>
        <w:autoSpaceDE w:val="0"/>
        <w:adjustRightInd w:val="0"/>
        <w:ind w:firstLine="709"/>
        <w:jc w:val="center"/>
        <w:rPr>
          <w:sz w:val="26"/>
          <w:szCs w:val="26"/>
        </w:rPr>
      </w:pPr>
    </w:p>
    <w:p w:rsidR="00457699" w:rsidRPr="000B0E75" w:rsidRDefault="000B0E75" w:rsidP="00457699">
      <w:pPr>
        <w:autoSpaceDE w:val="0"/>
        <w:adjustRightInd w:val="0"/>
        <w:ind w:firstLine="709"/>
        <w:jc w:val="both"/>
        <w:rPr>
          <w:sz w:val="26"/>
          <w:szCs w:val="26"/>
        </w:rPr>
      </w:pPr>
      <w:r w:rsidRPr="00332E75">
        <w:rPr>
          <w:rFonts w:eastAsiaTheme="minorHAnsi"/>
          <w:sz w:val="26"/>
          <w:szCs w:val="26"/>
          <w:lang w:eastAsia="en-US"/>
        </w:rPr>
        <w:t>Ресурсное обеспечение затрат и структура финансиро</w:t>
      </w:r>
      <w:r>
        <w:rPr>
          <w:rFonts w:eastAsiaTheme="minorHAnsi"/>
          <w:sz w:val="26"/>
          <w:szCs w:val="26"/>
          <w:lang w:eastAsia="en-US"/>
        </w:rPr>
        <w:t>вания мероприятий за период 2025 – 2028</w:t>
      </w:r>
      <w:r w:rsidRPr="00332E75">
        <w:rPr>
          <w:rFonts w:eastAsiaTheme="minorHAnsi"/>
          <w:sz w:val="26"/>
          <w:szCs w:val="26"/>
          <w:lang w:eastAsia="en-US"/>
        </w:rPr>
        <w:t xml:space="preserve"> год</w:t>
      </w:r>
      <w:r>
        <w:rPr>
          <w:rFonts w:eastAsiaTheme="minorHAnsi"/>
          <w:sz w:val="26"/>
          <w:szCs w:val="26"/>
          <w:lang w:eastAsia="en-US"/>
        </w:rPr>
        <w:t>ов</w:t>
      </w:r>
      <w:r w:rsidRPr="00332E75">
        <w:rPr>
          <w:rFonts w:eastAsiaTheme="minorHAnsi"/>
          <w:sz w:val="26"/>
          <w:szCs w:val="26"/>
          <w:lang w:eastAsia="en-US"/>
        </w:rPr>
        <w:t xml:space="preserve"> </w:t>
      </w:r>
      <w:r w:rsidRPr="006A12DE">
        <w:rPr>
          <w:rFonts w:eastAsiaTheme="minorHAnsi"/>
          <w:sz w:val="26"/>
          <w:szCs w:val="26"/>
          <w:lang w:eastAsia="en-US"/>
        </w:rPr>
        <w:t xml:space="preserve">указаны в </w:t>
      </w:r>
      <w:r>
        <w:rPr>
          <w:rFonts w:eastAsiaTheme="minorHAnsi"/>
          <w:sz w:val="26"/>
          <w:szCs w:val="26"/>
          <w:lang w:eastAsia="en-US"/>
        </w:rPr>
        <w:t xml:space="preserve">приложении №2 </w:t>
      </w:r>
      <w:r w:rsidRPr="00332E75">
        <w:rPr>
          <w:rFonts w:eastAsiaTheme="minorHAnsi"/>
          <w:sz w:val="26"/>
          <w:szCs w:val="26"/>
          <w:lang w:eastAsia="en-US"/>
        </w:rPr>
        <w:t>к настоящей МП</w:t>
      </w:r>
      <w:r w:rsidR="00457699" w:rsidRPr="000B0E75">
        <w:rPr>
          <w:sz w:val="26"/>
          <w:szCs w:val="26"/>
        </w:rPr>
        <w:t>.</w:t>
      </w:r>
    </w:p>
    <w:p w:rsidR="00457699" w:rsidRPr="000B0E75" w:rsidRDefault="00457699" w:rsidP="00457699">
      <w:pPr>
        <w:autoSpaceDE w:val="0"/>
        <w:adjustRightInd w:val="0"/>
        <w:spacing w:before="240" w:after="240"/>
        <w:ind w:firstLine="709"/>
        <w:jc w:val="center"/>
        <w:outlineLvl w:val="0"/>
        <w:rPr>
          <w:bCs/>
          <w:sz w:val="26"/>
          <w:szCs w:val="26"/>
        </w:rPr>
      </w:pPr>
      <w:r w:rsidRPr="000B0E75">
        <w:rPr>
          <w:bCs/>
          <w:sz w:val="26"/>
          <w:szCs w:val="26"/>
        </w:rPr>
        <w:t>6. ИНДИКАТОРЫ РЕЗУЛЬТАТИВНОСТИ ПОДПРОГРАММЫ МП</w:t>
      </w:r>
    </w:p>
    <w:p w:rsidR="00457699" w:rsidRPr="00457699" w:rsidRDefault="000B0E75" w:rsidP="00457699">
      <w:pPr>
        <w:autoSpaceDE w:val="0"/>
        <w:autoSpaceDN w:val="0"/>
        <w:adjustRightInd w:val="0"/>
        <w:ind w:firstLine="540"/>
        <w:jc w:val="both"/>
        <w:rPr>
          <w:sz w:val="26"/>
          <w:szCs w:val="26"/>
        </w:rPr>
      </w:pPr>
      <w:r w:rsidRPr="00332E75">
        <w:rPr>
          <w:sz w:val="26"/>
          <w:szCs w:val="26"/>
        </w:rPr>
        <w:t xml:space="preserve">Значения целевых </w:t>
      </w:r>
      <w:r w:rsidRPr="006A12DE">
        <w:rPr>
          <w:sz w:val="26"/>
          <w:szCs w:val="26"/>
        </w:rPr>
        <w:t>индикаторов</w:t>
      </w:r>
      <w:r w:rsidRPr="00332E75">
        <w:rPr>
          <w:sz w:val="26"/>
          <w:szCs w:val="26"/>
        </w:rPr>
        <w:t xml:space="preserve"> результативности </w:t>
      </w:r>
      <w:r>
        <w:rPr>
          <w:sz w:val="26"/>
          <w:szCs w:val="26"/>
        </w:rPr>
        <w:t xml:space="preserve">подпрограммы </w:t>
      </w:r>
      <w:r w:rsidRPr="00332E75">
        <w:rPr>
          <w:sz w:val="26"/>
          <w:szCs w:val="26"/>
        </w:rPr>
        <w:t>МП по годам с указанием мероприятий, влияющих на их выпо</w:t>
      </w:r>
      <w:r>
        <w:rPr>
          <w:sz w:val="26"/>
          <w:szCs w:val="26"/>
        </w:rPr>
        <w:t>лнение, приведены в приложении №3</w:t>
      </w:r>
      <w:r w:rsidRPr="00332E75">
        <w:rPr>
          <w:sz w:val="26"/>
          <w:szCs w:val="26"/>
        </w:rPr>
        <w:t xml:space="preserve"> к </w:t>
      </w:r>
      <w:r>
        <w:rPr>
          <w:sz w:val="26"/>
          <w:szCs w:val="26"/>
        </w:rPr>
        <w:t xml:space="preserve">настоящей </w:t>
      </w:r>
      <w:r w:rsidRPr="00332E75">
        <w:rPr>
          <w:sz w:val="26"/>
          <w:szCs w:val="26"/>
        </w:rPr>
        <w:t>МП</w:t>
      </w:r>
      <w:r w:rsidR="00457699" w:rsidRPr="000B0E75">
        <w:rPr>
          <w:sz w:val="26"/>
          <w:szCs w:val="26"/>
        </w:rPr>
        <w:t>.</w:t>
      </w:r>
    </w:p>
    <w:p w:rsidR="00BF5A5D" w:rsidRPr="00457699" w:rsidRDefault="00BF5A5D">
      <w:pPr>
        <w:rPr>
          <w:sz w:val="26"/>
          <w:szCs w:val="26"/>
        </w:rPr>
      </w:pPr>
    </w:p>
    <w:sectPr w:rsidR="00BF5A5D" w:rsidRPr="00457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99"/>
    <w:rsid w:val="0008418A"/>
    <w:rsid w:val="000B0E75"/>
    <w:rsid w:val="00457699"/>
    <w:rsid w:val="005C039A"/>
    <w:rsid w:val="007D4000"/>
    <w:rsid w:val="007E2A0C"/>
    <w:rsid w:val="00AE4F75"/>
    <w:rsid w:val="00BE5DA7"/>
    <w:rsid w:val="00BF4F7F"/>
    <w:rsid w:val="00BF5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C22CB-01BA-4953-9AA6-445EA36BA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6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769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1935</Words>
  <Characters>11035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Верещагина Наталья Владимировна</dc:creator>
  <cp:keywords/>
  <dc:description/>
  <cp:lastModifiedBy>Верещагина Наталья Владимировна</cp:lastModifiedBy>
  <cp:revision>2</cp:revision>
  <dcterms:created xsi:type="dcterms:W3CDTF">2025-11-12T04:33:00Z</dcterms:created>
  <dcterms:modified xsi:type="dcterms:W3CDTF">2025-11-12T04:33:00Z</dcterms:modified>
</cp:coreProperties>
</file>