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E22C38" w:rsidRPr="00F478DD" w:rsidRDefault="00E22C38" w:rsidP="00E22C38">
      <w:pPr>
        <w:spacing w:after="0" w:line="240" w:lineRule="auto"/>
        <w:jc w:val="center"/>
        <w:rPr>
          <w:rFonts w:ascii="Times New Roman" w:eastAsia="Times New Roman" w:hAnsi="Times New Roman" w:cs="Times New Roman"/>
          <w:sz w:val="26"/>
          <w:lang w:eastAsia="ru-RU"/>
        </w:rPr>
      </w:pPr>
    </w:p>
    <w:p w:rsidR="00267C70" w:rsidRDefault="00122891" w:rsidP="00751E51">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14.04.</w:t>
      </w:r>
      <w:r w:rsidR="00EA1897">
        <w:rPr>
          <w:rFonts w:ascii="Times New Roman" w:eastAsia="Times New Roman" w:hAnsi="Times New Roman" w:cs="Times New Roman"/>
          <w:sz w:val="26"/>
          <w:lang w:eastAsia="ru-RU"/>
        </w:rPr>
        <w:t>2022</w:t>
      </w:r>
      <w:r w:rsidR="00E22C38" w:rsidRPr="00F478DD">
        <w:rPr>
          <w:rFonts w:ascii="Times New Roman" w:eastAsia="Times New Roman" w:hAnsi="Times New Roman" w:cs="Times New Roman"/>
          <w:sz w:val="26"/>
          <w:lang w:eastAsia="ru-RU"/>
        </w:rPr>
        <w:tab/>
      </w:r>
      <w:r w:rsidR="00EA1897">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w:t>
      </w:r>
      <w:r w:rsidR="0051680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516805">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г. Но</w:t>
      </w:r>
      <w:r w:rsidR="00751E51">
        <w:rPr>
          <w:rFonts w:ascii="Times New Roman" w:eastAsia="Times New Roman" w:hAnsi="Times New Roman" w:cs="Times New Roman"/>
          <w:sz w:val="26"/>
          <w:lang w:eastAsia="ru-RU"/>
        </w:rPr>
        <w:t xml:space="preserve">рильск </w:t>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t xml:space="preserve">                    № </w:t>
      </w:r>
      <w:r>
        <w:rPr>
          <w:rFonts w:ascii="Times New Roman" w:eastAsia="Times New Roman" w:hAnsi="Times New Roman" w:cs="Times New Roman"/>
          <w:sz w:val="26"/>
          <w:lang w:eastAsia="ru-RU"/>
        </w:rPr>
        <w:t>216</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621D54" w:rsidRPr="00F478DD" w:rsidRDefault="00621D54"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621D54" w:rsidRDefault="00621D54" w:rsidP="00E13D59">
      <w:pPr>
        <w:autoSpaceDE w:val="0"/>
        <w:autoSpaceDN w:val="0"/>
        <w:adjustRightInd w:val="0"/>
        <w:spacing w:after="0" w:line="240" w:lineRule="auto"/>
        <w:ind w:firstLine="540"/>
        <w:jc w:val="both"/>
        <w:rPr>
          <w:rFonts w:ascii="Times New Roman" w:hAnsi="Times New Roman" w:cs="Times New Roman"/>
          <w:sz w:val="26"/>
          <w:szCs w:val="26"/>
        </w:rPr>
      </w:pPr>
    </w:p>
    <w:p w:rsidR="00F478DD" w:rsidRDefault="00F478DD" w:rsidP="00E13D59">
      <w:pPr>
        <w:autoSpaceDE w:val="0"/>
        <w:autoSpaceDN w:val="0"/>
        <w:adjustRightInd w:val="0"/>
        <w:spacing w:after="0" w:line="240" w:lineRule="auto"/>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r w:rsidR="00EA1897">
        <w:rPr>
          <w:rFonts w:ascii="Times New Roman" w:hAnsi="Times New Roman" w:cs="Times New Roman"/>
          <w:sz w:val="26"/>
          <w:szCs w:val="26"/>
        </w:rPr>
        <w:t>Нордсервис</w:t>
      </w:r>
      <w:r w:rsidR="000B4815">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sidR="00E13D59">
        <w:rPr>
          <w:rFonts w:ascii="Times New Roman" w:hAnsi="Times New Roman" w:cs="Times New Roman"/>
          <w:sz w:val="26"/>
          <w:szCs w:val="26"/>
        </w:rPr>
        <w:t>2</w:t>
      </w:r>
      <w:r w:rsidRPr="00F478DD">
        <w:rPr>
          <w:rFonts w:ascii="Times New Roman" w:hAnsi="Times New Roman" w:cs="Times New Roman"/>
          <w:sz w:val="26"/>
          <w:szCs w:val="26"/>
        </w:rPr>
        <w:t xml:space="preserve"> году, </w:t>
      </w:r>
      <w:r w:rsidR="00621D54">
        <w:rPr>
          <w:rFonts w:ascii="Times New Roman" w:hAnsi="Times New Roman"/>
          <w:sz w:val="26"/>
          <w:szCs w:val="26"/>
        </w:rPr>
        <w:t>утвержденный Решением комиссии Городского Совета по городскому хозяйству от 25.11.2021 № 478, от 25.11.2021 № 479 (далее - Сводный титульный список)</w:t>
      </w:r>
      <w:r w:rsidRPr="00F478DD">
        <w:rPr>
          <w:rFonts w:ascii="Times New Roman" w:hAnsi="Times New Roman" w:cs="Times New Roman"/>
          <w:sz w:val="26"/>
          <w:szCs w:val="26"/>
        </w:rPr>
        <w:t xml:space="preserve">, решения о проведении капитального ремонта в отношении общего имущества, руководствуясь </w:t>
      </w:r>
      <w:hyperlink r:id="rId6"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7"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E13D59">
      <w:pPr>
        <w:pStyle w:val="a3"/>
        <w:ind w:firstLine="540"/>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0"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sidR="00E13D59">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E13D59">
      <w:pPr>
        <w:pStyle w:val="a3"/>
        <w:ind w:firstLine="540"/>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1"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4B1D9C">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w:t>
      </w:r>
      <w:r w:rsidRPr="00267C70">
        <w:rPr>
          <w:rFonts w:ascii="Times New Roman" w:hAnsi="Times New Roman" w:cs="Times New Roman"/>
          <w:sz w:val="26"/>
          <w:szCs w:val="26"/>
        </w:rPr>
        <w:lastRenderedPageBreak/>
        <w:t xml:space="preserve">ограниченной ответственностью </w:t>
      </w:r>
      <w:r w:rsidR="00E13D59">
        <w:rPr>
          <w:rFonts w:ascii="Times New Roman" w:hAnsi="Times New Roman" w:cs="Times New Roman"/>
          <w:sz w:val="26"/>
          <w:szCs w:val="26"/>
        </w:rPr>
        <w:t>«</w:t>
      </w:r>
      <w:r w:rsidR="00EA1897">
        <w:rPr>
          <w:rFonts w:ascii="Times New Roman" w:hAnsi="Times New Roman" w:cs="Times New Roman"/>
          <w:sz w:val="26"/>
          <w:szCs w:val="26"/>
        </w:rPr>
        <w:t>Нордсервис</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2"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 с использованием государственной информационной системы жилищно-коммунального хозяйства.</w:t>
      </w:r>
    </w:p>
    <w:p w:rsidR="00F478DD" w:rsidRPr="00267C70" w:rsidRDefault="004B1D9C" w:rsidP="00E13D59">
      <w:pPr>
        <w:pStyle w:val="a3"/>
        <w:ind w:firstLine="540"/>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E13D59">
      <w:pPr>
        <w:pStyle w:val="a3"/>
        <w:ind w:firstLine="540"/>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Pr="00267C70" w:rsidRDefault="00267C70" w:rsidP="00E22C38">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267C70" w:rsidRDefault="00267C70"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CB51E9" w:rsidRDefault="00CB51E9"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0940DA" w:rsidRDefault="000940DA"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CB51E9" w:rsidRDefault="00CB51E9" w:rsidP="00267C70">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E541E7" w:rsidRPr="00A20316" w:rsidRDefault="00E541E7" w:rsidP="00CB51E9">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E541E7" w:rsidRPr="00A20316" w:rsidRDefault="00E541E7" w:rsidP="00CB51E9">
      <w:pPr>
        <w:spacing w:after="0" w:line="240" w:lineRule="auto"/>
        <w:ind w:left="-993" w:firstLine="6380"/>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 xml:space="preserve">к </w:t>
      </w:r>
      <w:r w:rsidR="00A20316">
        <w:rPr>
          <w:rFonts w:ascii="Times New Roman" w:eastAsiaTheme="minorEastAsia" w:hAnsi="Times New Roman" w:cs="Times New Roman"/>
          <w:sz w:val="26"/>
          <w:szCs w:val="26"/>
          <w:lang w:eastAsia="ru-RU"/>
        </w:rPr>
        <w:t xml:space="preserve">проекту </w:t>
      </w:r>
      <w:r w:rsidRPr="00A20316">
        <w:rPr>
          <w:rFonts w:ascii="Times New Roman" w:eastAsiaTheme="minorEastAsia" w:hAnsi="Times New Roman" w:cs="Times New Roman"/>
          <w:sz w:val="26"/>
          <w:szCs w:val="26"/>
          <w:lang w:eastAsia="ru-RU"/>
        </w:rPr>
        <w:t>постановлени</w:t>
      </w:r>
      <w:r w:rsidR="00A20316">
        <w:rPr>
          <w:rFonts w:ascii="Times New Roman" w:eastAsiaTheme="minorEastAsia" w:hAnsi="Times New Roman" w:cs="Times New Roman"/>
          <w:sz w:val="26"/>
          <w:szCs w:val="26"/>
          <w:lang w:eastAsia="ru-RU"/>
        </w:rPr>
        <w:t>я</w:t>
      </w:r>
    </w:p>
    <w:p w:rsidR="00E541E7" w:rsidRDefault="00E541E7" w:rsidP="00CB51E9">
      <w:pPr>
        <w:spacing w:after="0" w:line="240" w:lineRule="auto"/>
        <w:ind w:left="-993" w:firstLine="6380"/>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Администрации города Норильска</w:t>
      </w:r>
    </w:p>
    <w:p w:rsidR="00621D54" w:rsidRPr="00A20316" w:rsidRDefault="00122891" w:rsidP="00CB51E9">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от 14.04.2022 № 216</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pPr w:leftFromText="180" w:rightFromText="180" w:vertAnchor="text" w:tblpY="1"/>
        <w:tblOverlap w:val="never"/>
        <w:tblW w:w="8549" w:type="dxa"/>
        <w:tblLook w:val="04A0" w:firstRow="1" w:lastRow="0" w:firstColumn="1" w:lastColumn="0" w:noHBand="0" w:noVBand="1"/>
      </w:tblPr>
      <w:tblGrid>
        <w:gridCol w:w="724"/>
        <w:gridCol w:w="3714"/>
        <w:gridCol w:w="4111"/>
      </w:tblGrid>
      <w:tr w:rsidR="00A20316" w:rsidRPr="00987A32" w:rsidTr="00F6564E">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A20316" w:rsidRPr="00A20316" w:rsidRDefault="00A20316" w:rsidP="00F6564E">
            <w:pPr>
              <w:rPr>
                <w:rFonts w:ascii="Times New Roman" w:hAnsi="Times New Roman" w:cs="Times New Roman"/>
                <w:sz w:val="26"/>
                <w:szCs w:val="26"/>
              </w:rPr>
            </w:pPr>
            <w:r w:rsidRPr="00A20316">
              <w:rPr>
                <w:rFonts w:ascii="Times New Roman" w:hAnsi="Times New Roman" w:cs="Times New Roman"/>
                <w:sz w:val="26"/>
                <w:szCs w:val="26"/>
              </w:rPr>
              <w:t>№ п\п</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A20316" w:rsidRDefault="00A20316" w:rsidP="00F6564E">
            <w:pPr>
              <w:rPr>
                <w:rFonts w:ascii="Times New Roman" w:hAnsi="Times New Roman" w:cs="Times New Roman"/>
                <w:sz w:val="26"/>
                <w:szCs w:val="26"/>
              </w:rPr>
            </w:pPr>
            <w:r w:rsidRPr="00A20316">
              <w:rPr>
                <w:rFonts w:ascii="Times New Roman" w:hAnsi="Times New Roman" w:cs="Times New Roman"/>
                <w:sz w:val="26"/>
                <w:szCs w:val="26"/>
              </w:rPr>
              <w:t>Адрес МКД</w:t>
            </w:r>
          </w:p>
        </w:tc>
        <w:tc>
          <w:tcPr>
            <w:tcW w:w="4111" w:type="dxa"/>
            <w:tcBorders>
              <w:top w:val="single" w:sz="4" w:space="0" w:color="auto"/>
              <w:left w:val="nil"/>
              <w:bottom w:val="single" w:sz="4" w:space="0" w:color="auto"/>
              <w:right w:val="single" w:sz="4" w:space="0" w:color="auto"/>
            </w:tcBorders>
            <w:shd w:val="clear" w:color="000000" w:fill="FFFFFF"/>
          </w:tcPr>
          <w:p w:rsidR="00A20316" w:rsidRPr="00A20316" w:rsidRDefault="00A20316" w:rsidP="00F6564E">
            <w:pPr>
              <w:rPr>
                <w:rFonts w:ascii="Times New Roman" w:hAnsi="Times New Roman" w:cs="Times New Roman"/>
                <w:sz w:val="26"/>
                <w:szCs w:val="26"/>
              </w:rPr>
            </w:pPr>
            <w:r w:rsidRPr="00A20316">
              <w:rPr>
                <w:rFonts w:ascii="Times New Roman" w:hAnsi="Times New Roman" w:cs="Times New Roman"/>
                <w:sz w:val="26"/>
                <w:szCs w:val="26"/>
              </w:rPr>
              <w:t>Виды работ согласно титульному списку на 2022 г.</w:t>
            </w:r>
          </w:p>
        </w:tc>
      </w:tr>
      <w:tr w:rsidR="00A20316" w:rsidRPr="00621D54" w:rsidTr="00F6564E">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A20316" w:rsidRPr="00621D54" w:rsidRDefault="00A20316" w:rsidP="00F6564E">
            <w:pPr>
              <w:rPr>
                <w:rFonts w:ascii="Times New Roman" w:hAnsi="Times New Roman" w:cs="Times New Roman"/>
                <w:sz w:val="26"/>
                <w:szCs w:val="26"/>
              </w:rPr>
            </w:pPr>
            <w:r w:rsidRPr="00621D54">
              <w:rPr>
                <w:rFonts w:ascii="Times New Roman" w:hAnsi="Times New Roman" w:cs="Times New Roman"/>
                <w:sz w:val="26"/>
                <w:szCs w:val="26"/>
              </w:rPr>
              <w:t>1</w:t>
            </w:r>
            <w:r w:rsidR="00F6564E" w:rsidRPr="00621D54">
              <w:rPr>
                <w:rFonts w:ascii="Times New Roman" w:hAnsi="Times New Roman" w:cs="Times New Roman"/>
                <w:sz w:val="26"/>
                <w:szCs w:val="26"/>
              </w:rPr>
              <w:t>.</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621D54" w:rsidRDefault="00A20316" w:rsidP="00F6564E">
            <w:pPr>
              <w:rPr>
                <w:rFonts w:ascii="Times New Roman" w:hAnsi="Times New Roman" w:cs="Times New Roman"/>
                <w:sz w:val="26"/>
                <w:szCs w:val="26"/>
              </w:rPr>
            </w:pPr>
            <w:r w:rsidRPr="00621D54">
              <w:rPr>
                <w:rFonts w:ascii="Times New Roman" w:hAnsi="Times New Roman" w:cs="Times New Roman"/>
                <w:sz w:val="26"/>
                <w:szCs w:val="26"/>
              </w:rPr>
              <w:t xml:space="preserve">ул. </w:t>
            </w:r>
            <w:r w:rsidR="00F6564E" w:rsidRPr="00621D54">
              <w:rPr>
                <w:rFonts w:ascii="Times New Roman" w:hAnsi="Times New Roman" w:cs="Times New Roman"/>
                <w:sz w:val="26"/>
                <w:szCs w:val="26"/>
              </w:rPr>
              <w:t>Бегичева</w:t>
            </w:r>
            <w:r w:rsidRPr="00621D54">
              <w:rPr>
                <w:rFonts w:ascii="Times New Roman" w:hAnsi="Times New Roman" w:cs="Times New Roman"/>
                <w:sz w:val="26"/>
                <w:szCs w:val="26"/>
              </w:rPr>
              <w:t xml:space="preserve">, д. </w:t>
            </w:r>
            <w:r w:rsidR="00F6564E" w:rsidRPr="00621D54">
              <w:rPr>
                <w:rFonts w:ascii="Times New Roman" w:hAnsi="Times New Roman" w:cs="Times New Roman"/>
                <w:sz w:val="26"/>
                <w:szCs w:val="26"/>
              </w:rPr>
              <w:t>5</w:t>
            </w:r>
          </w:p>
        </w:tc>
        <w:tc>
          <w:tcPr>
            <w:tcW w:w="4111" w:type="dxa"/>
            <w:tcBorders>
              <w:top w:val="single" w:sz="4" w:space="0" w:color="auto"/>
              <w:left w:val="nil"/>
              <w:bottom w:val="single" w:sz="4" w:space="0" w:color="auto"/>
              <w:right w:val="single" w:sz="4" w:space="0" w:color="auto"/>
            </w:tcBorders>
            <w:shd w:val="clear" w:color="000000" w:fill="FFFFFF"/>
          </w:tcPr>
          <w:p w:rsidR="00A20316"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сохранение устойчивости</w:t>
            </w:r>
            <w:r w:rsidR="0005196C" w:rsidRPr="00621D54">
              <w:rPr>
                <w:rFonts w:ascii="Times New Roman" w:hAnsi="Times New Roman" w:cs="Times New Roman"/>
                <w:sz w:val="26"/>
                <w:szCs w:val="26"/>
              </w:rPr>
              <w:t xml:space="preserve"> зданий</w:t>
            </w:r>
            <w:r w:rsidRPr="00621D54">
              <w:rPr>
                <w:rFonts w:ascii="Times New Roman" w:hAnsi="Times New Roman" w:cs="Times New Roman"/>
                <w:sz w:val="26"/>
                <w:szCs w:val="26"/>
              </w:rPr>
              <w:t xml:space="preserve"> перспективного жилищного фонда, проектные работы</w:t>
            </w:r>
          </w:p>
        </w:tc>
      </w:tr>
      <w:tr w:rsidR="00F6564E" w:rsidRPr="00621D54" w:rsidTr="00F6564E">
        <w:trPr>
          <w:trHeight w:val="555"/>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2.</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ул. Бегичева, д. 15</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3.</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ул. Бегичева, д. 24</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F6564E" w:rsidP="00F6564E">
            <w:r w:rsidRPr="00621D54">
              <w:rPr>
                <w:rFonts w:ascii="Times New Roman" w:hAnsi="Times New Roman" w:cs="Times New Roman"/>
                <w:sz w:val="26"/>
                <w:szCs w:val="26"/>
              </w:rPr>
              <w:t>сохранение устойчивости</w:t>
            </w:r>
            <w:r w:rsidR="0005196C" w:rsidRPr="00621D54">
              <w:rPr>
                <w:rFonts w:ascii="Times New Roman" w:hAnsi="Times New Roman" w:cs="Times New Roman"/>
                <w:sz w:val="26"/>
                <w:szCs w:val="26"/>
              </w:rPr>
              <w:t xml:space="preserve"> зданий</w:t>
            </w:r>
            <w:r w:rsidRPr="00621D54">
              <w:rPr>
                <w:rFonts w:ascii="Times New Roman" w:hAnsi="Times New Roman" w:cs="Times New Roman"/>
                <w:sz w:val="26"/>
                <w:szCs w:val="26"/>
              </w:rPr>
              <w:t xml:space="preserve"> перспективного жилищного фонда, 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4.</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ул. Бегичева, д. 26</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F6564E" w:rsidP="00F6564E">
            <w:r w:rsidRPr="00621D54">
              <w:rPr>
                <w:rFonts w:ascii="Times New Roman" w:hAnsi="Times New Roman" w:cs="Times New Roman"/>
                <w:sz w:val="26"/>
                <w:szCs w:val="26"/>
              </w:rPr>
              <w:t>сохранение устойчивости</w:t>
            </w:r>
            <w:r w:rsidR="0005196C" w:rsidRPr="00621D54">
              <w:rPr>
                <w:rFonts w:ascii="Times New Roman" w:hAnsi="Times New Roman" w:cs="Times New Roman"/>
                <w:sz w:val="26"/>
                <w:szCs w:val="26"/>
              </w:rPr>
              <w:t xml:space="preserve"> зданий</w:t>
            </w:r>
            <w:r w:rsidRPr="00621D54">
              <w:rPr>
                <w:rFonts w:ascii="Times New Roman" w:hAnsi="Times New Roman" w:cs="Times New Roman"/>
                <w:sz w:val="26"/>
                <w:szCs w:val="26"/>
              </w:rPr>
              <w:t xml:space="preserve"> перспективного жилищного фонда, 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5.</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ул. Красноярская, д. 7</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сохранение устойчивости</w:t>
            </w:r>
            <w:r w:rsidR="0005196C" w:rsidRPr="00621D54">
              <w:rPr>
                <w:rFonts w:ascii="Times New Roman" w:hAnsi="Times New Roman" w:cs="Times New Roman"/>
                <w:sz w:val="26"/>
                <w:szCs w:val="26"/>
              </w:rPr>
              <w:t xml:space="preserve"> зданий</w:t>
            </w:r>
            <w:r w:rsidRPr="00621D54">
              <w:rPr>
                <w:rFonts w:ascii="Times New Roman" w:hAnsi="Times New Roman" w:cs="Times New Roman"/>
                <w:sz w:val="26"/>
                <w:szCs w:val="26"/>
              </w:rPr>
              <w:t xml:space="preserve"> перспективного жилищного фонда, 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6.</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ул. Комсомольская, д. 47 Е</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F6564E" w:rsidP="00F6564E">
            <w:r w:rsidRPr="00621D54">
              <w:rPr>
                <w:rFonts w:ascii="Times New Roman" w:hAnsi="Times New Roman" w:cs="Times New Roman"/>
                <w:sz w:val="26"/>
                <w:szCs w:val="26"/>
              </w:rPr>
              <w:t xml:space="preserve">сохранение устойчивости </w:t>
            </w:r>
            <w:r w:rsidR="0005196C" w:rsidRPr="00621D54">
              <w:rPr>
                <w:rFonts w:ascii="Times New Roman" w:hAnsi="Times New Roman" w:cs="Times New Roman"/>
                <w:sz w:val="26"/>
                <w:szCs w:val="26"/>
              </w:rPr>
              <w:t xml:space="preserve">зданий </w:t>
            </w:r>
            <w:r w:rsidRPr="00621D54">
              <w:rPr>
                <w:rFonts w:ascii="Times New Roman" w:hAnsi="Times New Roman" w:cs="Times New Roman"/>
                <w:sz w:val="26"/>
                <w:szCs w:val="26"/>
              </w:rPr>
              <w:t>перспективного жилищного фонда, 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7.</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 xml:space="preserve">ул. </w:t>
            </w:r>
            <w:proofErr w:type="spellStart"/>
            <w:r w:rsidRPr="00621D54">
              <w:rPr>
                <w:rFonts w:ascii="Times New Roman" w:hAnsi="Times New Roman" w:cs="Times New Roman"/>
                <w:sz w:val="26"/>
                <w:szCs w:val="26"/>
              </w:rPr>
              <w:t>Котульского</w:t>
            </w:r>
            <w:proofErr w:type="spellEnd"/>
            <w:r w:rsidRPr="00621D54">
              <w:rPr>
                <w:rFonts w:ascii="Times New Roman" w:hAnsi="Times New Roman" w:cs="Times New Roman"/>
                <w:sz w:val="26"/>
                <w:szCs w:val="26"/>
              </w:rPr>
              <w:t>, д. 15</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р</w:t>
            </w:r>
            <w:r w:rsidR="00F6564E" w:rsidRPr="00621D54">
              <w:rPr>
                <w:rFonts w:ascii="Times New Roman" w:hAnsi="Times New Roman" w:cs="Times New Roman"/>
                <w:sz w:val="26"/>
                <w:szCs w:val="26"/>
              </w:rPr>
              <w:t>емонт металлической кровли, проектные работы, ремонт и окраска фасада, ремонт дворовых территорий</w:t>
            </w:r>
          </w:p>
        </w:tc>
      </w:tr>
      <w:tr w:rsidR="005D35A4"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D35A4"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8.</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5D35A4"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 xml:space="preserve">ул. </w:t>
            </w:r>
            <w:proofErr w:type="spellStart"/>
            <w:r w:rsidRPr="00621D54">
              <w:rPr>
                <w:rFonts w:ascii="Times New Roman" w:hAnsi="Times New Roman" w:cs="Times New Roman"/>
                <w:sz w:val="26"/>
                <w:szCs w:val="26"/>
              </w:rPr>
              <w:t>Котульского</w:t>
            </w:r>
            <w:proofErr w:type="spellEnd"/>
            <w:r w:rsidRPr="00621D54">
              <w:rPr>
                <w:rFonts w:ascii="Times New Roman" w:hAnsi="Times New Roman" w:cs="Times New Roman"/>
                <w:sz w:val="26"/>
                <w:szCs w:val="26"/>
              </w:rPr>
              <w:t>, д. 21</w:t>
            </w:r>
          </w:p>
        </w:tc>
        <w:tc>
          <w:tcPr>
            <w:tcW w:w="4111" w:type="dxa"/>
            <w:tcBorders>
              <w:top w:val="single" w:sz="4" w:space="0" w:color="auto"/>
              <w:left w:val="nil"/>
              <w:bottom w:val="single" w:sz="4" w:space="0" w:color="auto"/>
              <w:right w:val="single" w:sz="4" w:space="0" w:color="auto"/>
            </w:tcBorders>
            <w:shd w:val="clear" w:color="000000" w:fill="FFFFFF"/>
          </w:tcPr>
          <w:p w:rsidR="005D35A4"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ремонт металлической кровли</w:t>
            </w:r>
          </w:p>
        </w:tc>
      </w:tr>
      <w:tr w:rsidR="005D35A4"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D35A4"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9.</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5D35A4"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пл. Металлургов, д. 1</w:t>
            </w:r>
          </w:p>
        </w:tc>
        <w:tc>
          <w:tcPr>
            <w:tcW w:w="4111" w:type="dxa"/>
            <w:tcBorders>
              <w:top w:val="single" w:sz="4" w:space="0" w:color="auto"/>
              <w:left w:val="nil"/>
              <w:bottom w:val="single" w:sz="4" w:space="0" w:color="auto"/>
              <w:right w:val="single" w:sz="4" w:space="0" w:color="auto"/>
            </w:tcBorders>
            <w:shd w:val="clear" w:color="000000" w:fill="FFFFFF"/>
          </w:tcPr>
          <w:p w:rsidR="005D35A4"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ремонт металлической кровли</w:t>
            </w:r>
          </w:p>
        </w:tc>
      </w:tr>
      <w:tr w:rsidR="005D35A4"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D35A4"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10.</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5D35A4"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пл. Металлургов, д. 17</w:t>
            </w:r>
          </w:p>
        </w:tc>
        <w:tc>
          <w:tcPr>
            <w:tcW w:w="4111" w:type="dxa"/>
            <w:tcBorders>
              <w:top w:val="single" w:sz="4" w:space="0" w:color="auto"/>
              <w:left w:val="nil"/>
              <w:bottom w:val="single" w:sz="4" w:space="0" w:color="auto"/>
              <w:right w:val="single" w:sz="4" w:space="0" w:color="auto"/>
            </w:tcBorders>
            <w:shd w:val="clear" w:color="000000" w:fill="FFFFFF"/>
          </w:tcPr>
          <w:p w:rsidR="005D35A4"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ремонт металлической кровли</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11.</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ул. Нансена, д. 2</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F6564E" w:rsidP="00F6564E">
            <w:r w:rsidRPr="00621D54">
              <w:rPr>
                <w:rFonts w:ascii="Times New Roman" w:hAnsi="Times New Roman" w:cs="Times New Roman"/>
                <w:sz w:val="26"/>
                <w:szCs w:val="26"/>
              </w:rPr>
              <w:t>ремонт металлической кровли, 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12.</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F6564E" w:rsidP="00F6564E">
            <w:pPr>
              <w:rPr>
                <w:rFonts w:ascii="Times New Roman" w:hAnsi="Times New Roman" w:cs="Times New Roman"/>
                <w:sz w:val="26"/>
                <w:szCs w:val="26"/>
              </w:rPr>
            </w:pPr>
            <w:r w:rsidRPr="00621D54">
              <w:rPr>
                <w:rFonts w:ascii="Times New Roman" w:hAnsi="Times New Roman" w:cs="Times New Roman"/>
                <w:sz w:val="26"/>
                <w:szCs w:val="26"/>
              </w:rPr>
              <w:t>ул. Нансена, д. 18</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F6564E" w:rsidP="00F6564E">
            <w:r w:rsidRPr="00621D54">
              <w:rPr>
                <w:rFonts w:ascii="Times New Roman" w:hAnsi="Times New Roman" w:cs="Times New Roman"/>
                <w:sz w:val="26"/>
                <w:szCs w:val="26"/>
              </w:rPr>
              <w:t>сохранение устойчивости</w:t>
            </w:r>
            <w:r w:rsidR="0005196C" w:rsidRPr="00621D54">
              <w:rPr>
                <w:rFonts w:ascii="Times New Roman" w:hAnsi="Times New Roman" w:cs="Times New Roman"/>
                <w:sz w:val="26"/>
                <w:szCs w:val="26"/>
              </w:rPr>
              <w:t xml:space="preserve"> зданий</w:t>
            </w:r>
            <w:r w:rsidRPr="00621D54">
              <w:rPr>
                <w:rFonts w:ascii="Times New Roman" w:hAnsi="Times New Roman" w:cs="Times New Roman"/>
                <w:sz w:val="26"/>
                <w:szCs w:val="26"/>
              </w:rPr>
              <w:t xml:space="preserve"> перспективного жилищного фонда, проектные работы</w:t>
            </w:r>
          </w:p>
        </w:tc>
      </w:tr>
      <w:tr w:rsidR="005D35A4"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5D35A4"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lastRenderedPageBreak/>
              <w:t>13.</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5D35A4"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ул. Нансена, д. 24</w:t>
            </w:r>
          </w:p>
        </w:tc>
        <w:tc>
          <w:tcPr>
            <w:tcW w:w="4111" w:type="dxa"/>
            <w:tcBorders>
              <w:top w:val="single" w:sz="4" w:space="0" w:color="auto"/>
              <w:left w:val="nil"/>
              <w:bottom w:val="single" w:sz="4" w:space="0" w:color="auto"/>
              <w:right w:val="single" w:sz="4" w:space="0" w:color="auto"/>
            </w:tcBorders>
            <w:shd w:val="clear" w:color="000000" w:fill="FFFFFF"/>
          </w:tcPr>
          <w:p w:rsidR="005D35A4"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ремонт и окраска фасадов, 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14.</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ул. Нансена, д. 46</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ремонт мягкой кровли, 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15.</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ул. Нансена, д. 50</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16.</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ул. Нансена, д. 52</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17.</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ул. Нансена, д. 94</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ремонт и окраска фасадов, проектные работы</w:t>
            </w:r>
          </w:p>
        </w:tc>
      </w:tr>
      <w:tr w:rsidR="00F6564E" w:rsidRPr="00621D54" w:rsidTr="00F6564E">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18.</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 xml:space="preserve">ул. </w:t>
            </w:r>
            <w:proofErr w:type="spellStart"/>
            <w:r w:rsidRPr="00621D54">
              <w:rPr>
                <w:rFonts w:ascii="Times New Roman" w:hAnsi="Times New Roman" w:cs="Times New Roman"/>
                <w:sz w:val="26"/>
                <w:szCs w:val="26"/>
              </w:rPr>
              <w:t>Хантайская</w:t>
            </w:r>
            <w:proofErr w:type="spellEnd"/>
            <w:r w:rsidRPr="00621D54">
              <w:rPr>
                <w:rFonts w:ascii="Times New Roman" w:hAnsi="Times New Roman" w:cs="Times New Roman"/>
                <w:sz w:val="26"/>
                <w:szCs w:val="26"/>
              </w:rPr>
              <w:t>, д. 11</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проектные работы</w:t>
            </w:r>
          </w:p>
        </w:tc>
      </w:tr>
      <w:tr w:rsidR="00F6564E" w:rsidRPr="00621D54" w:rsidTr="006138CC">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19.</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 xml:space="preserve">ул. </w:t>
            </w:r>
            <w:proofErr w:type="spellStart"/>
            <w:r w:rsidRPr="00621D54">
              <w:rPr>
                <w:rFonts w:ascii="Times New Roman" w:hAnsi="Times New Roman" w:cs="Times New Roman"/>
                <w:sz w:val="26"/>
                <w:szCs w:val="26"/>
              </w:rPr>
              <w:t>Хантайская</w:t>
            </w:r>
            <w:proofErr w:type="spellEnd"/>
            <w:r w:rsidRPr="00621D54">
              <w:rPr>
                <w:rFonts w:ascii="Times New Roman" w:hAnsi="Times New Roman" w:cs="Times New Roman"/>
                <w:sz w:val="26"/>
                <w:szCs w:val="26"/>
              </w:rPr>
              <w:t>, д. 33</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ремонт дворовых территорий</w:t>
            </w:r>
          </w:p>
        </w:tc>
      </w:tr>
      <w:tr w:rsidR="00F6564E" w:rsidRPr="00621D54" w:rsidTr="006138CC">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20.</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 xml:space="preserve">ул. </w:t>
            </w:r>
            <w:proofErr w:type="spellStart"/>
            <w:r w:rsidRPr="00621D54">
              <w:rPr>
                <w:rFonts w:ascii="Times New Roman" w:hAnsi="Times New Roman" w:cs="Times New Roman"/>
                <w:sz w:val="26"/>
                <w:szCs w:val="26"/>
              </w:rPr>
              <w:t>Хантайская</w:t>
            </w:r>
            <w:proofErr w:type="spellEnd"/>
            <w:r w:rsidRPr="00621D54">
              <w:rPr>
                <w:rFonts w:ascii="Times New Roman" w:hAnsi="Times New Roman" w:cs="Times New Roman"/>
                <w:sz w:val="26"/>
                <w:szCs w:val="26"/>
              </w:rPr>
              <w:t>, д. 39</w:t>
            </w:r>
          </w:p>
        </w:tc>
        <w:tc>
          <w:tcPr>
            <w:tcW w:w="4111" w:type="dxa"/>
            <w:tcBorders>
              <w:top w:val="single" w:sz="4" w:space="0" w:color="auto"/>
              <w:left w:val="nil"/>
              <w:bottom w:val="single" w:sz="4" w:space="0" w:color="auto"/>
              <w:right w:val="single" w:sz="4" w:space="0" w:color="auto"/>
            </w:tcBorders>
            <w:shd w:val="clear" w:color="000000" w:fill="FFFFFF"/>
          </w:tcPr>
          <w:p w:rsidR="00F6564E" w:rsidRPr="00621D54"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ремонт дворовых территорий</w:t>
            </w:r>
          </w:p>
        </w:tc>
      </w:tr>
      <w:tr w:rsidR="00F6564E" w:rsidRPr="005D35A4" w:rsidTr="006138CC">
        <w:trPr>
          <w:trHeight w:val="570"/>
        </w:trPr>
        <w:tc>
          <w:tcPr>
            <w:tcW w:w="724" w:type="dxa"/>
            <w:tcBorders>
              <w:top w:val="single" w:sz="4" w:space="0" w:color="auto"/>
              <w:left w:val="single" w:sz="4" w:space="0" w:color="auto"/>
              <w:bottom w:val="single" w:sz="4" w:space="0" w:color="auto"/>
              <w:right w:val="single" w:sz="4" w:space="0" w:color="auto"/>
            </w:tcBorders>
            <w:shd w:val="clear" w:color="000000" w:fill="FFFFFF"/>
          </w:tcPr>
          <w:p w:rsidR="00F6564E" w:rsidRPr="00621D54" w:rsidRDefault="00CB51E9" w:rsidP="00F6564E">
            <w:pPr>
              <w:rPr>
                <w:rFonts w:ascii="Times New Roman" w:hAnsi="Times New Roman" w:cs="Times New Roman"/>
                <w:sz w:val="26"/>
                <w:szCs w:val="26"/>
              </w:rPr>
            </w:pPr>
            <w:r w:rsidRPr="00621D54">
              <w:rPr>
                <w:rFonts w:ascii="Times New Roman" w:hAnsi="Times New Roman" w:cs="Times New Roman"/>
                <w:sz w:val="26"/>
                <w:szCs w:val="26"/>
              </w:rPr>
              <w:t>21.</w:t>
            </w:r>
          </w:p>
        </w:tc>
        <w:tc>
          <w:tcPr>
            <w:tcW w:w="3714" w:type="dxa"/>
            <w:tcBorders>
              <w:top w:val="single" w:sz="4" w:space="0" w:color="auto"/>
              <w:left w:val="single" w:sz="4" w:space="0" w:color="auto"/>
              <w:bottom w:val="single" w:sz="4" w:space="0" w:color="auto"/>
              <w:right w:val="single" w:sz="4" w:space="0" w:color="auto"/>
            </w:tcBorders>
            <w:shd w:val="clear" w:color="000000" w:fill="FFFFFF"/>
            <w:noWrap/>
          </w:tcPr>
          <w:p w:rsidR="00F6564E" w:rsidRPr="00621D54" w:rsidRDefault="005D35A4" w:rsidP="005D35A4">
            <w:pPr>
              <w:rPr>
                <w:rFonts w:ascii="Times New Roman" w:hAnsi="Times New Roman" w:cs="Times New Roman"/>
                <w:sz w:val="26"/>
                <w:szCs w:val="26"/>
              </w:rPr>
            </w:pPr>
            <w:r w:rsidRPr="00621D54">
              <w:rPr>
                <w:rFonts w:ascii="Times New Roman" w:hAnsi="Times New Roman" w:cs="Times New Roman"/>
                <w:sz w:val="26"/>
                <w:szCs w:val="26"/>
              </w:rPr>
              <w:t xml:space="preserve">ул. </w:t>
            </w:r>
            <w:proofErr w:type="spellStart"/>
            <w:r w:rsidRPr="00621D54">
              <w:rPr>
                <w:rFonts w:ascii="Times New Roman" w:hAnsi="Times New Roman" w:cs="Times New Roman"/>
                <w:sz w:val="26"/>
                <w:szCs w:val="26"/>
              </w:rPr>
              <w:t>Хантайская</w:t>
            </w:r>
            <w:proofErr w:type="spellEnd"/>
            <w:r w:rsidRPr="00621D54">
              <w:rPr>
                <w:rFonts w:ascii="Times New Roman" w:hAnsi="Times New Roman" w:cs="Times New Roman"/>
                <w:sz w:val="26"/>
                <w:szCs w:val="26"/>
              </w:rPr>
              <w:t>, д. 45</w:t>
            </w:r>
          </w:p>
        </w:tc>
        <w:tc>
          <w:tcPr>
            <w:tcW w:w="4111" w:type="dxa"/>
            <w:tcBorders>
              <w:top w:val="single" w:sz="4" w:space="0" w:color="auto"/>
              <w:left w:val="nil"/>
              <w:bottom w:val="single" w:sz="4" w:space="0" w:color="auto"/>
              <w:right w:val="single" w:sz="4" w:space="0" w:color="auto"/>
            </w:tcBorders>
            <w:shd w:val="clear" w:color="000000" w:fill="FFFFFF"/>
          </w:tcPr>
          <w:p w:rsidR="00F6564E" w:rsidRPr="00CB51E9" w:rsidRDefault="005D35A4" w:rsidP="00F6564E">
            <w:pPr>
              <w:rPr>
                <w:rFonts w:ascii="Times New Roman" w:hAnsi="Times New Roman" w:cs="Times New Roman"/>
                <w:sz w:val="26"/>
                <w:szCs w:val="26"/>
              </w:rPr>
            </w:pPr>
            <w:r w:rsidRPr="00621D54">
              <w:rPr>
                <w:rFonts w:ascii="Times New Roman" w:hAnsi="Times New Roman" w:cs="Times New Roman"/>
                <w:sz w:val="26"/>
                <w:szCs w:val="26"/>
              </w:rPr>
              <w:t>проектные работы</w:t>
            </w:r>
          </w:p>
        </w:tc>
      </w:tr>
    </w:tbl>
    <w:p w:rsidR="00987A32" w:rsidRDefault="00F6564E" w:rsidP="00C601E3">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br w:type="textWrapping" w:clear="all"/>
      </w: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rPr>
          <w:rFonts w:ascii="Times New Roman" w:eastAsia="Times New Roman" w:hAnsi="Times New Roman" w:cs="Times New Roman"/>
          <w:lang w:eastAsia="ru-RU"/>
        </w:rPr>
      </w:pPr>
    </w:p>
    <w:p w:rsidR="00987A32" w:rsidRDefault="00987A32"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p w:rsidR="00D26AA7" w:rsidRDefault="00D26AA7" w:rsidP="00C601E3">
      <w:pPr>
        <w:autoSpaceDE w:val="0"/>
        <w:autoSpaceDN w:val="0"/>
        <w:adjustRightInd w:val="0"/>
        <w:spacing w:after="0" w:line="240" w:lineRule="auto"/>
        <w:jc w:val="both"/>
      </w:pPr>
    </w:p>
    <w:sectPr w:rsidR="00D26AA7" w:rsidSect="004B1D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13242"/>
    <w:rsid w:val="0005196C"/>
    <w:rsid w:val="0007769D"/>
    <w:rsid w:val="00084E5F"/>
    <w:rsid w:val="000940DA"/>
    <w:rsid w:val="000B4815"/>
    <w:rsid w:val="000B494C"/>
    <w:rsid w:val="00122891"/>
    <w:rsid w:val="00267C70"/>
    <w:rsid w:val="002968E6"/>
    <w:rsid w:val="004251ED"/>
    <w:rsid w:val="004B1D9C"/>
    <w:rsid w:val="004D1112"/>
    <w:rsid w:val="00516805"/>
    <w:rsid w:val="00572BE7"/>
    <w:rsid w:val="00580F74"/>
    <w:rsid w:val="005D35A4"/>
    <w:rsid w:val="00621D54"/>
    <w:rsid w:val="006335A3"/>
    <w:rsid w:val="0063595A"/>
    <w:rsid w:val="00677BAC"/>
    <w:rsid w:val="006D3A6B"/>
    <w:rsid w:val="00751E51"/>
    <w:rsid w:val="007A39B2"/>
    <w:rsid w:val="008705C2"/>
    <w:rsid w:val="008B1F27"/>
    <w:rsid w:val="00987A32"/>
    <w:rsid w:val="00993407"/>
    <w:rsid w:val="00A20316"/>
    <w:rsid w:val="00B9625E"/>
    <w:rsid w:val="00BB752D"/>
    <w:rsid w:val="00C54261"/>
    <w:rsid w:val="00C566FC"/>
    <w:rsid w:val="00C601E3"/>
    <w:rsid w:val="00CB51E9"/>
    <w:rsid w:val="00D14EBE"/>
    <w:rsid w:val="00D26AA7"/>
    <w:rsid w:val="00D61996"/>
    <w:rsid w:val="00D93EE6"/>
    <w:rsid w:val="00E13D59"/>
    <w:rsid w:val="00E22C38"/>
    <w:rsid w:val="00E541E7"/>
    <w:rsid w:val="00EA1897"/>
    <w:rsid w:val="00EC68EF"/>
    <w:rsid w:val="00F478DD"/>
    <w:rsid w:val="00F6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CD54E8A32B87754BB36ED16D5A0858302669CAA5AC0F5A35EE80678EF0DB65ECF9F2B6DC51A2D8AB92BD85D431C491B7558857416k3DC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CD54E8A32B87754BB36ED16D5A0858302669CAA5AC0F5A35EE80678EF0DB65ECF9F2B6FCC1F22DAED64D90104495A19775886760A3FFF77k2D2F" TargetMode="External"/><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image" Target="media/image1.jpeg"/><Relationship Id="rId10" Type="http://schemas.openxmlformats.org/officeDocument/2006/relationships/hyperlink" Target="consultantplus://offline/ref=7CD54E8A32B87754BB36F31BC3CCDA8C026AC1A35FC1FFF002B4002FB05DB00B8FDF2D3A8F5A2BDFE16C8C514217034B33138A771423FE773D5F94FEkCD5F" TargetMode="External"/><Relationship Id="rId4" Type="http://schemas.openxmlformats.org/officeDocument/2006/relationships/webSettings" Target="web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10</cp:revision>
  <cp:lastPrinted>2022-03-22T02:31:00Z</cp:lastPrinted>
  <dcterms:created xsi:type="dcterms:W3CDTF">2022-02-10T02:47:00Z</dcterms:created>
  <dcterms:modified xsi:type="dcterms:W3CDTF">2022-04-14T09:19:00Z</dcterms:modified>
</cp:coreProperties>
</file>