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A1AF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A84429">
        <w:rPr>
          <w:color w:val="000000"/>
          <w:sz w:val="26"/>
          <w:szCs w:val="26"/>
        </w:rPr>
        <w:t>0201004</w:t>
      </w:r>
      <w:r w:rsidR="00187940">
        <w:rPr>
          <w:color w:val="000000"/>
          <w:sz w:val="26"/>
          <w:szCs w:val="26"/>
        </w:rPr>
        <w:t>:</w:t>
      </w:r>
      <w:r w:rsidR="00A84429">
        <w:rPr>
          <w:color w:val="000000"/>
          <w:sz w:val="26"/>
          <w:szCs w:val="26"/>
        </w:rPr>
        <w:t>3782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A84429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A84429" w:rsidRPr="00A8442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181», земельный участок 48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1AF9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A775-63C3-448F-95D3-91500826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2022-12-12T03:22:00Z</cp:lastPrinted>
  <dcterms:created xsi:type="dcterms:W3CDTF">2022-12-09T09:49:00Z</dcterms:created>
  <dcterms:modified xsi:type="dcterms:W3CDTF">2022-12-20T07:06:00Z</dcterms:modified>
</cp:coreProperties>
</file>