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7D4173" wp14:editId="1144BAB6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D2F" w:rsidRPr="00A12D2F" w:rsidRDefault="00A12D2F" w:rsidP="00A12D2F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:rsidR="00BA30D5" w:rsidRPr="00A12D2F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BA30D5" w:rsidRPr="00A12D2F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0D5" w:rsidRPr="00A12D2F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01F33" w:rsidRPr="00A12D2F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0D5" w:rsidRPr="00A12D2F" w:rsidRDefault="004775CA" w:rsidP="00BA30D5">
      <w:pPr>
        <w:tabs>
          <w:tab w:val="left" w:pos="4111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17.07.</w:t>
      </w:r>
      <w:r w:rsidR="00BA30D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A419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A30D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Норильск</w:t>
      </w:r>
      <w:r w:rsidR="00BA30D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319</w:t>
      </w:r>
    </w:p>
    <w:p w:rsidR="00BB2C03" w:rsidRPr="00A12D2F" w:rsidRDefault="00BB2C03" w:rsidP="00BA30D5">
      <w:pPr>
        <w:tabs>
          <w:tab w:val="left" w:pos="4111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C03" w:rsidRPr="00A12D2F" w:rsidRDefault="00BB2C03" w:rsidP="00BB2C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500" w:rsidRPr="00A12D2F" w:rsidRDefault="00103500" w:rsidP="0010350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 26.09.2024 № 462</w:t>
      </w:r>
    </w:p>
    <w:p w:rsidR="00AE461D" w:rsidRPr="00A12D2F" w:rsidRDefault="00AE461D" w:rsidP="00AE461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98C" w:rsidRPr="00A12D2F" w:rsidRDefault="00C03F81" w:rsidP="00F73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D0216F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принятием общим</w:t>
      </w:r>
      <w:r w:rsidR="0075331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0216F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</w:t>
      </w:r>
      <w:r w:rsidR="0075331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D0216F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собственников</w:t>
      </w:r>
      <w:r w:rsidR="00363B90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331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</w:t>
      </w:r>
      <w:r w:rsidR="00363B90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в многоквартирн</w:t>
      </w:r>
      <w:r w:rsidR="0075331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363B90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 w:rsidR="0075331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0F43B8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3B90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42F" w:rsidRPr="000316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по адресам:</w:t>
      </w:r>
      <w:r w:rsidR="004E4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Норильск, район Талнах, ул. </w:t>
      </w:r>
      <w:r w:rsidR="004E442F" w:rsidRPr="00031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Рудная, д. </w:t>
      </w:r>
      <w:r w:rsidR="004E44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442F" w:rsidRPr="00031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4E442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Рудная</w:t>
      </w:r>
      <w:r w:rsidR="004E442F" w:rsidRPr="00031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4E442F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4E442F" w:rsidRPr="00031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4E442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Рудная</w:t>
      </w:r>
      <w:r w:rsidR="004E442F" w:rsidRPr="00031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4E4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19, ул. Рудная, д. 23, </w:t>
      </w:r>
      <w:r w:rsidR="00E01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Рудная, д. 25, ул. Новая, д. 13, ул. Енисейская, д. 16, ул. Енисейская, д. 28-А, ул. Федоровского, д. 2, ул. Первопроходцев, д. 9, ул. Энтузиастов, д.7, </w:t>
      </w:r>
      <w:r w:rsidR="000F43B8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управлении общества с ограниченной ответственностью «</w:t>
      </w:r>
      <w:r w:rsidR="00D45DC4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Талнахбыт</w:t>
      </w:r>
      <w:r w:rsidR="000F43B8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</w:t>
      </w:r>
      <w:r w:rsidR="004E442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F43B8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</w:t>
      </w:r>
      <w:r w:rsidR="00D45DC4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Талнахбыт</w:t>
      </w:r>
      <w:r w:rsidR="000F43B8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»), </w:t>
      </w:r>
      <w:r w:rsidR="00363B90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75331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A66C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16F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</w:t>
      </w:r>
      <w:r w:rsidR="00363B90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16F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платы за </w:t>
      </w:r>
      <w:r w:rsidR="004E442F" w:rsidRPr="0003160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общего имущества (домофона)</w:t>
      </w:r>
      <w:r w:rsidR="004E4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216F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частями 3, 4 статьи 156 Жилищного кодекса РФ, Правилами содержания общего имущества в многоквартирном доме, утвержденны</w:t>
      </w:r>
      <w:r w:rsidR="0075331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</w:t>
      </w:r>
      <w:r w:rsidR="00D0216F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</w:t>
      </w:r>
      <w:r w:rsidR="009C5C06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тановлением Правительства РФ от </w:t>
      </w:r>
      <w:r w:rsidR="00D0216F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13.08.2006 № 491, </w:t>
      </w:r>
      <w:r w:rsidR="00F73E11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73E11" w:rsidRPr="00A12D2F">
        <w:rPr>
          <w:rFonts w:ascii="Times New Roman" w:hAnsi="Times New Roman" w:cs="Times New Roman"/>
          <w:sz w:val="26"/>
          <w:szCs w:val="26"/>
        </w:rPr>
        <w:t>орядком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 Норильск</w:t>
      </w:r>
      <w:r w:rsidR="00F73E11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</w:t>
      </w:r>
      <w:r w:rsidR="00124D2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73E11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города Норильска от 26.04.2023 №148,</w:t>
      </w:r>
    </w:p>
    <w:p w:rsidR="00920A00" w:rsidRPr="00A12D2F" w:rsidRDefault="00D0216F" w:rsidP="00920A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51C3C" w:rsidRPr="00A12D2F" w:rsidRDefault="00751C3C" w:rsidP="00920A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61D" w:rsidRPr="00A12D2F" w:rsidRDefault="00AE461D" w:rsidP="00AE46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124D2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города Норильска от </w:t>
      </w:r>
      <w:r w:rsidR="00FF198C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F198C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FF198C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4D2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F82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FF198C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462</w:t>
      </w: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размера платы за содержание жилого помещения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муниципального образования город Норильск в многоквартирных домах, находящихся в управлении ООО «Талнахбыт»</w:t>
      </w:r>
      <w:r w:rsidR="00FF5B42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 следующ</w:t>
      </w:r>
      <w:r w:rsidR="00A93B17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A93B17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E461D" w:rsidRPr="00A12D2F" w:rsidRDefault="00A12D2F" w:rsidP="00AE46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FF198C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E461D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61CF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F7199C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461CF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BA3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1, 6, 7, 9,</w:t>
      </w:r>
      <w:r w:rsidR="009B1CE9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BA3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10, 24, 41, 45, 48, 54</w:t>
      </w:r>
      <w:r w:rsidR="00E63A73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, 60</w:t>
      </w:r>
      <w:r w:rsidR="00C461CF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</w:t>
      </w:r>
      <w:r w:rsidR="00AE461D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="00464FB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461D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 w:rsidR="00E90BEB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редакции согласно приложению к настоящему </w:t>
      </w:r>
      <w:r w:rsidR="00124D2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="00BD75F9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0A00" w:rsidRPr="00A12D2F" w:rsidRDefault="00A12D2F" w:rsidP="00920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0A00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постановление в газете «Заполярная правда» </w:t>
      </w:r>
      <w:r w:rsidR="00FB5CE6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20A00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на официальном сайте муниципального образования город Норильск.</w:t>
      </w:r>
    </w:p>
    <w:p w:rsidR="002B0F62" w:rsidRPr="00BA30D5" w:rsidRDefault="00A12D2F" w:rsidP="002B0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0A00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B0F62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 w:rsidR="00E3140A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="009B1CE9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 свое действие на правоотношения, возникшие с </w:t>
      </w:r>
      <w:r w:rsidR="00FF198C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01.</w:t>
      </w:r>
      <w:r w:rsidR="004A419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C6BA3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140A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A419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3140A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F33" w:rsidRPr="00BA30D5" w:rsidRDefault="00E01F33" w:rsidP="00E01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55C0" w:rsidRDefault="00E955C0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0CF" w:rsidRDefault="00BA30D5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A06E5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A06E5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1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15007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0D6E89" w:rsidRDefault="000D6E89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C3C" w:rsidRDefault="00751C3C" w:rsidP="000D6E89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E52" w:rsidRDefault="008C6BA3" w:rsidP="000D6E89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Береговских Наталья Викторовна</w:t>
      </w:r>
    </w:p>
    <w:p w:rsidR="000D6E89" w:rsidRPr="00E01E52" w:rsidRDefault="00FF198C" w:rsidP="000D6E89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6E89" w:rsidRPr="00E01E52">
        <w:rPr>
          <w:rFonts w:ascii="Times New Roman" w:eastAsia="Times New Roman" w:hAnsi="Times New Roman" w:cs="Times New Roman"/>
          <w:sz w:val="20"/>
          <w:szCs w:val="20"/>
          <w:lang w:eastAsia="ru-RU"/>
        </w:rPr>
        <w:t>43-70-40</w:t>
      </w:r>
    </w:p>
    <w:p w:rsidR="00872BB7" w:rsidRDefault="00872BB7" w:rsidP="000D6E89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BB7" w:rsidRDefault="00872BB7" w:rsidP="000D6E89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BB7" w:rsidRPr="00833B1A" w:rsidRDefault="00872BB7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833B1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872BB7" w:rsidRPr="00833B1A" w:rsidRDefault="00872BB7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833B1A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</w:p>
    <w:p w:rsidR="00872BB7" w:rsidRPr="00833B1A" w:rsidRDefault="00872BB7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833B1A">
        <w:rPr>
          <w:rFonts w:ascii="Times New Roman" w:eastAsia="Times New Roman" w:hAnsi="Times New Roman" w:cs="Times New Roman"/>
          <w:lang w:eastAsia="ru-RU"/>
        </w:rPr>
        <w:t>Администрации города Норильска</w:t>
      </w:r>
    </w:p>
    <w:p w:rsidR="00872BB7" w:rsidRPr="00833B1A" w:rsidRDefault="00872BB7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833B1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775CA">
        <w:rPr>
          <w:rFonts w:ascii="Times New Roman" w:eastAsia="Times New Roman" w:hAnsi="Times New Roman" w:cs="Times New Roman"/>
          <w:lang w:eastAsia="ru-RU"/>
        </w:rPr>
        <w:t>17.07.2025</w:t>
      </w:r>
      <w:r w:rsidRPr="00833B1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4775CA">
        <w:rPr>
          <w:rFonts w:ascii="Times New Roman" w:eastAsia="Times New Roman" w:hAnsi="Times New Roman" w:cs="Times New Roman"/>
          <w:lang w:eastAsia="ru-RU"/>
        </w:rPr>
        <w:t>319</w:t>
      </w:r>
      <w:bookmarkStart w:id="0" w:name="_GoBack"/>
      <w:bookmarkEnd w:id="0"/>
    </w:p>
    <w:p w:rsidR="00872BB7" w:rsidRPr="00833B1A" w:rsidRDefault="00872BB7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3"/>
        <w:gridCol w:w="2127"/>
        <w:gridCol w:w="1639"/>
      </w:tblGrid>
      <w:tr w:rsidR="00872BB7" w:rsidRPr="00833B1A" w:rsidTr="007D7AB3">
        <w:trPr>
          <w:trHeight w:val="843"/>
        </w:trPr>
        <w:tc>
          <w:tcPr>
            <w:tcW w:w="567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п/п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Адрес многоквартирного дома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услуги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Единица измерения</w:t>
            </w:r>
          </w:p>
        </w:tc>
        <w:tc>
          <w:tcPr>
            <w:tcW w:w="1639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услуги, (руб.) с НДС</w:t>
            </w:r>
          </w:p>
        </w:tc>
      </w:tr>
      <w:tr w:rsidR="00872BB7" w:rsidRPr="00833B1A" w:rsidTr="000C5F1E">
        <w:trPr>
          <w:trHeight w:val="33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39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872BB7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872BB7" w:rsidRPr="00833B1A" w:rsidRDefault="00872BB7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Рудная</w:t>
            </w:r>
            <w:r w:rsidR="007D7AB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1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872BB7" w:rsidP="008A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 w:rsidR="008A2DC6">
              <w:rPr>
                <w:rFonts w:ascii="Times New Roman" w:hAnsi="Times New Roman" w:cs="Times New Roman"/>
                <w:sz w:val="19"/>
                <w:szCs w:val="19"/>
              </w:rPr>
              <w:t xml:space="preserve">без учета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общедомовых приборов учета, запирающих устройств</w:t>
            </w:r>
            <w:r w:rsidR="004E442F">
              <w:rPr>
                <w:rFonts w:ascii="Times New Roman" w:hAnsi="Times New Roman" w:cs="Times New Roman"/>
                <w:sz w:val="19"/>
                <w:szCs w:val="19"/>
              </w:rPr>
              <w:t xml:space="preserve"> (домофона)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872BB7" w:rsidRPr="00833B1A" w:rsidTr="007D7AB3">
        <w:trPr>
          <w:trHeight w:val="67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72BB7" w:rsidRPr="00833B1A" w:rsidRDefault="00872BB7" w:rsidP="0087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электроэнергии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0,05</w:t>
            </w:r>
          </w:p>
        </w:tc>
      </w:tr>
      <w:tr w:rsidR="00872BB7" w:rsidRPr="00833B1A" w:rsidTr="007D7AB3">
        <w:trPr>
          <w:trHeight w:val="55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872BB7" w:rsidRPr="00833B1A" w:rsidTr="007D7AB3">
        <w:trPr>
          <w:trHeight w:val="695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872BB7" w:rsidRPr="00833B1A" w:rsidTr="007D7AB3">
        <w:trPr>
          <w:trHeight w:val="27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872BB7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872BB7" w:rsidRPr="00833B1A" w:rsidRDefault="00911EEF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872BB7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Рудная, </w:t>
            </w:r>
            <w:r w:rsidR="00872BB7" w:rsidRPr="00833B1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911EEF" w:rsidRPr="00833B1A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872BB7" w:rsidP="008A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Содержание жилого помещения </w:t>
            </w:r>
            <w:r w:rsidR="008A2DC6">
              <w:rPr>
                <w:rFonts w:ascii="Times New Roman" w:hAnsi="Times New Roman" w:cs="Times New Roman"/>
                <w:sz w:val="19"/>
                <w:szCs w:val="19"/>
              </w:rPr>
              <w:t>(без учета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общедомовых приборов учета, </w:t>
            </w:r>
            <w:r w:rsidR="008A2DC6">
              <w:rPr>
                <w:rFonts w:ascii="Times New Roman" w:hAnsi="Times New Roman" w:cs="Times New Roman"/>
                <w:sz w:val="19"/>
                <w:szCs w:val="19"/>
              </w:rPr>
              <w:t>автоматизированного теплового пункта,</w:t>
            </w:r>
            <w:r w:rsidR="008A2DC6"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запирающих устройств</w:t>
            </w:r>
            <w:r w:rsidR="004E442F">
              <w:rPr>
                <w:rFonts w:ascii="Times New Roman" w:hAnsi="Times New Roman" w:cs="Times New Roman"/>
                <w:sz w:val="19"/>
                <w:szCs w:val="19"/>
              </w:rPr>
              <w:t xml:space="preserve"> (домофона)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833B1A" w:rsidRPr="00833B1A" w:rsidTr="007D7AB3">
        <w:trPr>
          <w:trHeight w:val="571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электроэнергии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0,05</w:t>
            </w:r>
          </w:p>
        </w:tc>
      </w:tr>
      <w:tr w:rsidR="00833B1A" w:rsidRPr="00833B1A" w:rsidTr="007D7AB3">
        <w:trPr>
          <w:trHeight w:val="551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833B1A" w:rsidRPr="00833B1A" w:rsidTr="007D7AB3">
        <w:trPr>
          <w:trHeight w:val="41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автоматизированного теплового пункта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0,63</w:t>
            </w:r>
          </w:p>
        </w:tc>
      </w:tr>
      <w:tr w:rsidR="00833B1A" w:rsidRPr="00833B1A" w:rsidTr="007D7AB3">
        <w:trPr>
          <w:trHeight w:val="53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833B1A" w:rsidRPr="00833B1A" w:rsidTr="007D7AB3">
        <w:trPr>
          <w:trHeight w:val="418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833B1A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833B1A" w:rsidRPr="00833B1A" w:rsidRDefault="00833B1A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Рудная</w:t>
            </w:r>
            <w:r w:rsidR="007D7AB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19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A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 w:rsidR="008A2DC6">
              <w:rPr>
                <w:rFonts w:ascii="Times New Roman" w:hAnsi="Times New Roman" w:cs="Times New Roman"/>
                <w:sz w:val="19"/>
                <w:szCs w:val="19"/>
              </w:rPr>
              <w:t xml:space="preserve">без учета общедомовых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приборов учета, </w:t>
            </w:r>
            <w:r w:rsidR="008A2DC6">
              <w:rPr>
                <w:rFonts w:ascii="Times New Roman" w:hAnsi="Times New Roman" w:cs="Times New Roman"/>
                <w:sz w:val="19"/>
                <w:szCs w:val="19"/>
              </w:rPr>
              <w:t xml:space="preserve">автоматизированного теплового пункта,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запирающих устройств </w:t>
            </w:r>
            <w:r w:rsidR="004E442F">
              <w:rPr>
                <w:rFonts w:ascii="Times New Roman" w:hAnsi="Times New Roman" w:cs="Times New Roman"/>
                <w:sz w:val="19"/>
                <w:szCs w:val="19"/>
              </w:rPr>
              <w:t xml:space="preserve">(домофона)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833B1A" w:rsidRPr="00833B1A" w:rsidTr="007D7AB3">
        <w:trPr>
          <w:trHeight w:val="56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электроэнергии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0,05</w:t>
            </w:r>
          </w:p>
        </w:tc>
      </w:tr>
      <w:tr w:rsidR="00833B1A" w:rsidRPr="00833B1A" w:rsidTr="007D7AB3">
        <w:trPr>
          <w:trHeight w:val="561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833B1A" w:rsidRPr="00833B1A" w:rsidTr="007D7AB3">
        <w:trPr>
          <w:trHeight w:val="556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автоматизированного теплового пункта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0,63</w:t>
            </w:r>
          </w:p>
        </w:tc>
      </w:tr>
      <w:tr w:rsidR="00833B1A" w:rsidRPr="00833B1A" w:rsidTr="007D7AB3">
        <w:trPr>
          <w:trHeight w:val="54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833B1A" w:rsidRPr="00833B1A" w:rsidTr="007D7AB3">
        <w:trPr>
          <w:trHeight w:val="42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833B1A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833B1A" w:rsidRPr="00833B1A" w:rsidRDefault="00833B1A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Рудная</w:t>
            </w:r>
            <w:r w:rsidR="007D7AB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23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A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 w:rsidR="008A2DC6">
              <w:rPr>
                <w:rFonts w:ascii="Times New Roman" w:hAnsi="Times New Roman" w:cs="Times New Roman"/>
                <w:sz w:val="19"/>
                <w:szCs w:val="19"/>
              </w:rPr>
              <w:t xml:space="preserve">без учета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общедомовых приборов учета, запирающих устройств </w:t>
            </w:r>
            <w:r w:rsidR="004E442F">
              <w:rPr>
                <w:rFonts w:ascii="Times New Roman" w:hAnsi="Times New Roman" w:cs="Times New Roman"/>
                <w:sz w:val="19"/>
                <w:szCs w:val="19"/>
              </w:rPr>
              <w:t xml:space="preserve">(домофона)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833B1A" w:rsidRPr="00833B1A" w:rsidTr="000C5F1E">
        <w:trPr>
          <w:trHeight w:val="810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электроэнергии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0,05</w:t>
            </w:r>
          </w:p>
        </w:tc>
      </w:tr>
      <w:tr w:rsidR="00833B1A" w:rsidRPr="00833B1A" w:rsidTr="00545636">
        <w:trPr>
          <w:trHeight w:val="556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833B1A" w:rsidRPr="00833B1A" w:rsidTr="00545636">
        <w:trPr>
          <w:trHeight w:val="550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833B1A" w:rsidRPr="00833B1A" w:rsidTr="00545636">
        <w:trPr>
          <w:trHeight w:val="416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833B1A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833B1A" w:rsidRPr="00833B1A" w:rsidRDefault="00833B1A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Рудная</w:t>
            </w:r>
            <w:r w:rsidR="007D7AB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A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 w:rsidR="008A2DC6">
              <w:rPr>
                <w:rFonts w:ascii="Times New Roman" w:hAnsi="Times New Roman" w:cs="Times New Roman"/>
                <w:sz w:val="19"/>
                <w:szCs w:val="19"/>
              </w:rPr>
              <w:t xml:space="preserve">без учета общедомовых приборов учета, автоматизированного теплового пункта,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запирающих устройств </w:t>
            </w:r>
            <w:r w:rsidR="004E442F">
              <w:rPr>
                <w:rFonts w:ascii="Times New Roman" w:hAnsi="Times New Roman" w:cs="Times New Roman"/>
                <w:sz w:val="19"/>
                <w:szCs w:val="19"/>
              </w:rPr>
              <w:t xml:space="preserve">(домофона)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833B1A" w:rsidRPr="00833B1A" w:rsidTr="00545636">
        <w:trPr>
          <w:trHeight w:val="565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833B1A" w:rsidRPr="00833B1A" w:rsidTr="00545636">
        <w:trPr>
          <w:trHeight w:val="55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833B1A" w:rsidRPr="00833B1A" w:rsidTr="00545636">
        <w:trPr>
          <w:trHeight w:val="553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автоматизированного теплового пункта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0,63</w:t>
            </w:r>
          </w:p>
        </w:tc>
      </w:tr>
      <w:tr w:rsidR="00833B1A" w:rsidRPr="00833B1A" w:rsidTr="00545636">
        <w:trPr>
          <w:trHeight w:val="41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7D7AB3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Новая, 13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8A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 w:rsidR="008A2DC6">
              <w:rPr>
                <w:rFonts w:ascii="Times New Roman" w:hAnsi="Times New Roman" w:cs="Times New Roman"/>
                <w:sz w:val="19"/>
                <w:szCs w:val="19"/>
              </w:rPr>
              <w:t>без учета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общедомовых приборов учета, запирающих устройств</w:t>
            </w:r>
            <w:r w:rsidR="004E442F">
              <w:rPr>
                <w:rFonts w:ascii="Times New Roman" w:hAnsi="Times New Roman" w:cs="Times New Roman"/>
                <w:sz w:val="19"/>
                <w:szCs w:val="19"/>
              </w:rPr>
              <w:t xml:space="preserve"> (домофона)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7D7AB3" w:rsidRPr="00833B1A" w:rsidTr="00545636">
        <w:trPr>
          <w:trHeight w:val="56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7D7AB3" w:rsidRPr="00833B1A" w:rsidTr="00545636">
        <w:trPr>
          <w:trHeight w:val="563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7D7AB3" w:rsidRPr="00833B1A" w:rsidTr="00545636">
        <w:trPr>
          <w:trHeight w:val="55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7D7AB3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Енисейская, 16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11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 w:rsidR="0011134D">
              <w:rPr>
                <w:rFonts w:ascii="Times New Roman" w:hAnsi="Times New Roman" w:cs="Times New Roman"/>
                <w:sz w:val="19"/>
                <w:szCs w:val="19"/>
              </w:rPr>
              <w:t>без учета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общедомовых приборов учета, запирающих устройств </w:t>
            </w:r>
            <w:r w:rsidR="004E442F">
              <w:rPr>
                <w:rFonts w:ascii="Times New Roman" w:hAnsi="Times New Roman" w:cs="Times New Roman"/>
                <w:sz w:val="19"/>
                <w:szCs w:val="19"/>
              </w:rPr>
              <w:t xml:space="preserve">(домофона) 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7D7AB3" w:rsidRPr="00833B1A" w:rsidTr="00545636">
        <w:trPr>
          <w:trHeight w:val="581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электроэнергии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0,05</w:t>
            </w:r>
          </w:p>
        </w:tc>
      </w:tr>
      <w:tr w:rsidR="007D7AB3" w:rsidRPr="00833B1A" w:rsidTr="00545636">
        <w:trPr>
          <w:trHeight w:val="561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7D7AB3" w:rsidRPr="00833B1A" w:rsidTr="00545636">
        <w:trPr>
          <w:trHeight w:val="555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7D7AB3" w:rsidRPr="00833B1A" w:rsidTr="00545636">
        <w:trPr>
          <w:trHeight w:val="563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7D7AB3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Енисейская, 28-А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11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 w:rsidR="0011134D">
              <w:rPr>
                <w:rFonts w:ascii="Times New Roman" w:hAnsi="Times New Roman" w:cs="Times New Roman"/>
                <w:sz w:val="19"/>
                <w:szCs w:val="19"/>
              </w:rPr>
              <w:t xml:space="preserve">без учета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общедомовых приборов учета, запирающих устройств </w:t>
            </w:r>
            <w:r w:rsidR="004E442F">
              <w:rPr>
                <w:rFonts w:ascii="Times New Roman" w:hAnsi="Times New Roman" w:cs="Times New Roman"/>
                <w:sz w:val="19"/>
                <w:szCs w:val="19"/>
              </w:rPr>
              <w:t xml:space="preserve">(домофона)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7D7AB3" w:rsidRPr="00833B1A" w:rsidTr="00545636">
        <w:trPr>
          <w:trHeight w:val="58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7D7AB3" w:rsidRPr="00833B1A" w:rsidTr="00545636">
        <w:trPr>
          <w:trHeight w:val="56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7D7AB3" w:rsidRPr="00833B1A" w:rsidTr="00545636">
        <w:trPr>
          <w:trHeight w:val="68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7D7AB3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48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Федоровского, 2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8A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 w:rsidR="008A2DC6">
              <w:rPr>
                <w:rFonts w:ascii="Times New Roman" w:hAnsi="Times New Roman" w:cs="Times New Roman"/>
                <w:sz w:val="19"/>
                <w:szCs w:val="19"/>
              </w:rPr>
              <w:t>без учета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общедомовых приборов учета, запирающих устройств </w:t>
            </w:r>
            <w:r w:rsidR="004E442F">
              <w:rPr>
                <w:rFonts w:ascii="Times New Roman" w:hAnsi="Times New Roman" w:cs="Times New Roman"/>
                <w:sz w:val="19"/>
                <w:szCs w:val="19"/>
              </w:rPr>
              <w:t xml:space="preserve">(домофона)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7D7AB3" w:rsidRPr="00833B1A" w:rsidTr="00545636">
        <w:trPr>
          <w:trHeight w:val="55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электроэнергии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0,05</w:t>
            </w:r>
          </w:p>
        </w:tc>
      </w:tr>
      <w:tr w:rsidR="007D7AB3" w:rsidRPr="00833B1A" w:rsidTr="00545636">
        <w:trPr>
          <w:trHeight w:val="550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7D7AB3" w:rsidRPr="00833B1A" w:rsidTr="00545636">
        <w:trPr>
          <w:trHeight w:val="558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7D7AB3" w:rsidRPr="00833B1A" w:rsidTr="00545636">
        <w:trPr>
          <w:trHeight w:val="423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7D7AB3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Первопроходцев, 9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8A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 w:rsidR="008A2DC6">
              <w:rPr>
                <w:rFonts w:ascii="Times New Roman" w:hAnsi="Times New Roman" w:cs="Times New Roman"/>
                <w:sz w:val="19"/>
                <w:szCs w:val="19"/>
              </w:rPr>
              <w:t>без учета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общедомовых приборов учета, запирающих устройств</w:t>
            </w:r>
            <w:r w:rsidR="004E442F">
              <w:rPr>
                <w:rFonts w:ascii="Times New Roman" w:hAnsi="Times New Roman" w:cs="Times New Roman"/>
                <w:sz w:val="19"/>
                <w:szCs w:val="19"/>
              </w:rPr>
              <w:t xml:space="preserve"> (домофона)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7D7AB3" w:rsidRPr="00833B1A" w:rsidTr="00545636">
        <w:trPr>
          <w:trHeight w:val="573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электроэнергии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0,05</w:t>
            </w:r>
          </w:p>
        </w:tc>
      </w:tr>
      <w:tr w:rsidR="007D7AB3" w:rsidRPr="00833B1A" w:rsidTr="00545636">
        <w:trPr>
          <w:trHeight w:val="553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7D7AB3" w:rsidRPr="00833B1A" w:rsidTr="00545636">
        <w:trPr>
          <w:trHeight w:val="54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7D7AB3" w:rsidRPr="00833B1A" w:rsidTr="00545636">
        <w:trPr>
          <w:trHeight w:val="42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7D7AB3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Энтузиастов, 7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8A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 w:rsidR="008A2DC6">
              <w:rPr>
                <w:rFonts w:ascii="Times New Roman" w:hAnsi="Times New Roman" w:cs="Times New Roman"/>
                <w:sz w:val="19"/>
                <w:szCs w:val="19"/>
              </w:rPr>
              <w:t>без учета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общедомовых приборов учета, </w:t>
            </w:r>
            <w:r w:rsidR="0011134D">
              <w:rPr>
                <w:rFonts w:ascii="Times New Roman" w:hAnsi="Times New Roman" w:cs="Times New Roman"/>
                <w:sz w:val="19"/>
                <w:szCs w:val="19"/>
              </w:rPr>
              <w:t xml:space="preserve">автоматизированного теплового пункта,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запирающих устройств </w:t>
            </w:r>
            <w:r w:rsidR="004E442F">
              <w:rPr>
                <w:rFonts w:ascii="Times New Roman" w:hAnsi="Times New Roman" w:cs="Times New Roman"/>
                <w:sz w:val="19"/>
                <w:szCs w:val="19"/>
              </w:rPr>
              <w:t xml:space="preserve">(домофона)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7D7AB3" w:rsidRPr="00833B1A" w:rsidTr="00545636">
        <w:trPr>
          <w:trHeight w:val="57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электроэнергии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0,05</w:t>
            </w:r>
          </w:p>
        </w:tc>
      </w:tr>
      <w:tr w:rsidR="007D7AB3" w:rsidRPr="00833B1A" w:rsidTr="00545636">
        <w:trPr>
          <w:trHeight w:val="55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7D7AB3" w:rsidRPr="00833B1A" w:rsidTr="00545636">
        <w:trPr>
          <w:trHeight w:val="40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автоматизированного теплового пункта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0,63</w:t>
            </w:r>
          </w:p>
        </w:tc>
      </w:tr>
      <w:tr w:rsidR="007D7AB3" w:rsidRPr="00833B1A" w:rsidTr="00545636">
        <w:trPr>
          <w:trHeight w:val="52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7D7AB3" w:rsidRPr="00833B1A" w:rsidTr="00545636">
        <w:trPr>
          <w:trHeight w:val="423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7D7AB3" w:rsidRPr="00833B1A" w:rsidRDefault="007D7AB3" w:rsidP="007D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</w:tbl>
    <w:p w:rsidR="00872BB7" w:rsidRPr="00833B1A" w:rsidRDefault="00872BB7" w:rsidP="000D6E89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72BB7" w:rsidRPr="00833B1A" w:rsidSect="00E01E52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CB" w:rsidRDefault="00937DCB" w:rsidP="00651B00">
      <w:pPr>
        <w:spacing w:after="0" w:line="240" w:lineRule="auto"/>
      </w:pPr>
      <w:r>
        <w:separator/>
      </w:r>
    </w:p>
  </w:endnote>
  <w:endnote w:type="continuationSeparator" w:id="0">
    <w:p w:rsidR="00937DCB" w:rsidRDefault="00937DCB" w:rsidP="0065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CB" w:rsidRDefault="00937DCB" w:rsidP="00651B00">
      <w:pPr>
        <w:spacing w:after="0" w:line="240" w:lineRule="auto"/>
      </w:pPr>
      <w:r>
        <w:separator/>
      </w:r>
    </w:p>
  </w:footnote>
  <w:footnote w:type="continuationSeparator" w:id="0">
    <w:p w:rsidR="00937DCB" w:rsidRDefault="00937DCB" w:rsidP="0065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3"/>
    <w:rsid w:val="000278BF"/>
    <w:rsid w:val="0003089B"/>
    <w:rsid w:val="0009481B"/>
    <w:rsid w:val="00097052"/>
    <w:rsid w:val="000A0A5D"/>
    <w:rsid w:val="000A4536"/>
    <w:rsid w:val="000B4772"/>
    <w:rsid w:val="000C5B24"/>
    <w:rsid w:val="000D6E89"/>
    <w:rsid w:val="000D6F28"/>
    <w:rsid w:val="000F43B8"/>
    <w:rsid w:val="00103500"/>
    <w:rsid w:val="00106D23"/>
    <w:rsid w:val="0011134D"/>
    <w:rsid w:val="00124D25"/>
    <w:rsid w:val="00160439"/>
    <w:rsid w:val="00173745"/>
    <w:rsid w:val="00176EB9"/>
    <w:rsid w:val="00177960"/>
    <w:rsid w:val="001A3588"/>
    <w:rsid w:val="001A64C3"/>
    <w:rsid w:val="001B5E3B"/>
    <w:rsid w:val="001E3D95"/>
    <w:rsid w:val="00201C91"/>
    <w:rsid w:val="00215FD8"/>
    <w:rsid w:val="00237824"/>
    <w:rsid w:val="00247438"/>
    <w:rsid w:val="00264942"/>
    <w:rsid w:val="002B0F62"/>
    <w:rsid w:val="002B2070"/>
    <w:rsid w:val="002F4EC6"/>
    <w:rsid w:val="00305A22"/>
    <w:rsid w:val="00310BF3"/>
    <w:rsid w:val="00363B90"/>
    <w:rsid w:val="00366903"/>
    <w:rsid w:val="00391A77"/>
    <w:rsid w:val="003A7F98"/>
    <w:rsid w:val="003E3E11"/>
    <w:rsid w:val="003F7876"/>
    <w:rsid w:val="00402E52"/>
    <w:rsid w:val="00442B4A"/>
    <w:rsid w:val="00464FB5"/>
    <w:rsid w:val="004775CA"/>
    <w:rsid w:val="004852BE"/>
    <w:rsid w:val="004A4195"/>
    <w:rsid w:val="004C44C1"/>
    <w:rsid w:val="004E442F"/>
    <w:rsid w:val="00526F82"/>
    <w:rsid w:val="005341F0"/>
    <w:rsid w:val="005443B0"/>
    <w:rsid w:val="00545636"/>
    <w:rsid w:val="00556CFB"/>
    <w:rsid w:val="0057415B"/>
    <w:rsid w:val="00583394"/>
    <w:rsid w:val="005A66C5"/>
    <w:rsid w:val="005C4F77"/>
    <w:rsid w:val="005F20E2"/>
    <w:rsid w:val="005F68DA"/>
    <w:rsid w:val="00605442"/>
    <w:rsid w:val="00610409"/>
    <w:rsid w:val="00622E4B"/>
    <w:rsid w:val="006335A3"/>
    <w:rsid w:val="0063595A"/>
    <w:rsid w:val="00651B00"/>
    <w:rsid w:val="006735BA"/>
    <w:rsid w:val="00677BAC"/>
    <w:rsid w:val="00680572"/>
    <w:rsid w:val="00681D46"/>
    <w:rsid w:val="00695C73"/>
    <w:rsid w:val="006965F6"/>
    <w:rsid w:val="006A7099"/>
    <w:rsid w:val="006C482F"/>
    <w:rsid w:val="0071235F"/>
    <w:rsid w:val="00744967"/>
    <w:rsid w:val="00751C3C"/>
    <w:rsid w:val="00753315"/>
    <w:rsid w:val="00767DD3"/>
    <w:rsid w:val="00785DAD"/>
    <w:rsid w:val="007A06A0"/>
    <w:rsid w:val="007A68F9"/>
    <w:rsid w:val="007C7EE4"/>
    <w:rsid w:val="007D0869"/>
    <w:rsid w:val="007D7AB3"/>
    <w:rsid w:val="007E1BAF"/>
    <w:rsid w:val="00833B1A"/>
    <w:rsid w:val="00872BB7"/>
    <w:rsid w:val="008A2DC6"/>
    <w:rsid w:val="008B10CF"/>
    <w:rsid w:val="008B1B6A"/>
    <w:rsid w:val="008B45F9"/>
    <w:rsid w:val="008C6BA3"/>
    <w:rsid w:val="00911639"/>
    <w:rsid w:val="00911EEF"/>
    <w:rsid w:val="00920A00"/>
    <w:rsid w:val="0093062A"/>
    <w:rsid w:val="00937DCB"/>
    <w:rsid w:val="00971989"/>
    <w:rsid w:val="00980029"/>
    <w:rsid w:val="0098406D"/>
    <w:rsid w:val="00984DD9"/>
    <w:rsid w:val="009B1CE9"/>
    <w:rsid w:val="009B6DEF"/>
    <w:rsid w:val="009C1466"/>
    <w:rsid w:val="009C5C06"/>
    <w:rsid w:val="009D1A5A"/>
    <w:rsid w:val="009D6BE1"/>
    <w:rsid w:val="00A06E55"/>
    <w:rsid w:val="00A11C42"/>
    <w:rsid w:val="00A12D2F"/>
    <w:rsid w:val="00A47C94"/>
    <w:rsid w:val="00A554E8"/>
    <w:rsid w:val="00A84730"/>
    <w:rsid w:val="00A85357"/>
    <w:rsid w:val="00A93AB3"/>
    <w:rsid w:val="00A93B17"/>
    <w:rsid w:val="00AA5AE7"/>
    <w:rsid w:val="00AB10A6"/>
    <w:rsid w:val="00AE461D"/>
    <w:rsid w:val="00AE68E5"/>
    <w:rsid w:val="00B12BB9"/>
    <w:rsid w:val="00B1546A"/>
    <w:rsid w:val="00B43DFA"/>
    <w:rsid w:val="00B541F3"/>
    <w:rsid w:val="00B650D1"/>
    <w:rsid w:val="00B7735C"/>
    <w:rsid w:val="00B942AA"/>
    <w:rsid w:val="00B94366"/>
    <w:rsid w:val="00B97CD7"/>
    <w:rsid w:val="00BA30D5"/>
    <w:rsid w:val="00BB159D"/>
    <w:rsid w:val="00BB2C03"/>
    <w:rsid w:val="00BB752D"/>
    <w:rsid w:val="00BD4BCF"/>
    <w:rsid w:val="00BD75F9"/>
    <w:rsid w:val="00BF4071"/>
    <w:rsid w:val="00C03F81"/>
    <w:rsid w:val="00C25BDA"/>
    <w:rsid w:val="00C33811"/>
    <w:rsid w:val="00C44C19"/>
    <w:rsid w:val="00C45934"/>
    <w:rsid w:val="00C461CF"/>
    <w:rsid w:val="00C54261"/>
    <w:rsid w:val="00C56B67"/>
    <w:rsid w:val="00C936E0"/>
    <w:rsid w:val="00C93D31"/>
    <w:rsid w:val="00CB6615"/>
    <w:rsid w:val="00CC4B12"/>
    <w:rsid w:val="00CD3A00"/>
    <w:rsid w:val="00CE55E3"/>
    <w:rsid w:val="00CF49FA"/>
    <w:rsid w:val="00D0216F"/>
    <w:rsid w:val="00D248A1"/>
    <w:rsid w:val="00D43940"/>
    <w:rsid w:val="00D45DC4"/>
    <w:rsid w:val="00DC1057"/>
    <w:rsid w:val="00DD6DAE"/>
    <w:rsid w:val="00DF137A"/>
    <w:rsid w:val="00DF723B"/>
    <w:rsid w:val="00E01E52"/>
    <w:rsid w:val="00E01F33"/>
    <w:rsid w:val="00E146FF"/>
    <w:rsid w:val="00E3140A"/>
    <w:rsid w:val="00E36BB7"/>
    <w:rsid w:val="00E60830"/>
    <w:rsid w:val="00E62744"/>
    <w:rsid w:val="00E63A73"/>
    <w:rsid w:val="00E70507"/>
    <w:rsid w:val="00E82802"/>
    <w:rsid w:val="00E858B1"/>
    <w:rsid w:val="00E90BEB"/>
    <w:rsid w:val="00E955C0"/>
    <w:rsid w:val="00E97531"/>
    <w:rsid w:val="00EA06D1"/>
    <w:rsid w:val="00EB3055"/>
    <w:rsid w:val="00EC3B53"/>
    <w:rsid w:val="00EE7285"/>
    <w:rsid w:val="00EF180B"/>
    <w:rsid w:val="00F118CA"/>
    <w:rsid w:val="00F15007"/>
    <w:rsid w:val="00F21F42"/>
    <w:rsid w:val="00F32922"/>
    <w:rsid w:val="00F44CEE"/>
    <w:rsid w:val="00F50B0B"/>
    <w:rsid w:val="00F5124B"/>
    <w:rsid w:val="00F5455F"/>
    <w:rsid w:val="00F65650"/>
    <w:rsid w:val="00F7199C"/>
    <w:rsid w:val="00F73E11"/>
    <w:rsid w:val="00FB04D8"/>
    <w:rsid w:val="00FB5CE6"/>
    <w:rsid w:val="00FB6E5D"/>
    <w:rsid w:val="00FC184F"/>
    <w:rsid w:val="00FE4A33"/>
    <w:rsid w:val="00FF198C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9A7C"/>
  <w15:chartTrackingRefBased/>
  <w15:docId w15:val="{E66C1710-1CA3-4543-BCD6-997B315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B00"/>
  </w:style>
  <w:style w:type="paragraph" w:styleId="a7">
    <w:name w:val="footer"/>
    <w:basedOn w:val="a"/>
    <w:link w:val="a8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B00"/>
  </w:style>
  <w:style w:type="paragraph" w:styleId="a9">
    <w:name w:val="List Paragraph"/>
    <w:basedOn w:val="a"/>
    <w:uiPriority w:val="34"/>
    <w:qFormat/>
    <w:rsid w:val="00AE461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393D-2D37-4BBE-9AA9-F522B4F8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Бородина Оксана Сергеевна</cp:lastModifiedBy>
  <cp:revision>3</cp:revision>
  <cp:lastPrinted>2025-07-15T08:18:00Z</cp:lastPrinted>
  <dcterms:created xsi:type="dcterms:W3CDTF">2025-07-15T08:30:00Z</dcterms:created>
  <dcterms:modified xsi:type="dcterms:W3CDTF">2025-07-17T03:01:00Z</dcterms:modified>
</cp:coreProperties>
</file>