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66A4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11.01.2023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180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9E35AE" w:rsidRPr="009E35AE">
        <w:rPr>
          <w:color w:val="000000"/>
          <w:sz w:val="26"/>
          <w:szCs w:val="26"/>
        </w:rPr>
        <w:t>0404004:1844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9E35AE" w:rsidRPr="009E35AE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9E35AE" w:rsidRPr="009E35AE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9E35AE">
        <w:rPr>
          <w:color w:val="000000"/>
          <w:sz w:val="26"/>
          <w:szCs w:val="26"/>
        </w:rPr>
        <w:t xml:space="preserve"> </w:t>
      </w:r>
      <w:r w:rsidR="009E35AE" w:rsidRPr="009E35AE">
        <w:rPr>
          <w:color w:val="000000"/>
          <w:sz w:val="26"/>
          <w:szCs w:val="26"/>
        </w:rPr>
        <w:t>«Гаражно-строительный кооператив N 229», земельный участок № 2А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6A4B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8DEB-7535-45E9-A605-3FDF2F43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2022-12-27T08:02:00Z</cp:lastPrinted>
  <dcterms:created xsi:type="dcterms:W3CDTF">2022-12-27T04:12:00Z</dcterms:created>
  <dcterms:modified xsi:type="dcterms:W3CDTF">2023-01-11T07:19:00Z</dcterms:modified>
</cp:coreProperties>
</file>