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693D35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02.02.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 w:rsidR="004F1536">
        <w:rPr>
          <w:rFonts w:ascii="Times New Roman" w:hAnsi="Times New Roman" w:cs="Times New Roman"/>
          <w:b w:val="0"/>
          <w:sz w:val="26"/>
          <w:szCs w:val="26"/>
        </w:rPr>
        <w:t>3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37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FE6BDE">
        <w:rPr>
          <w:sz w:val="26"/>
          <w:szCs w:val="26"/>
        </w:rPr>
        <w:t>3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FE6BDE">
        <w:rPr>
          <w:sz w:val="26"/>
          <w:szCs w:val="26"/>
        </w:rPr>
        <w:t>3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   Д.В. Карасев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59466A" w:rsidRDefault="0059466A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92278E" w:rsidRDefault="00693D35" w:rsidP="00693D35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02.02.2023 № 37</w:t>
      </w:r>
    </w:p>
    <w:p w:rsidR="00693D35" w:rsidRDefault="00693D35" w:rsidP="00693D35">
      <w:pPr>
        <w:ind w:left="5670"/>
        <w:jc w:val="both"/>
        <w:rPr>
          <w:sz w:val="26"/>
          <w:szCs w:val="26"/>
        </w:rPr>
      </w:pPr>
      <w:bookmarkStart w:id="0" w:name="_GoBack"/>
      <w:bookmarkEnd w:id="0"/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FE6BDE">
        <w:rPr>
          <w:sz w:val="26"/>
          <w:szCs w:val="26"/>
        </w:rPr>
        <w:t>3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263,4857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236,2192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192,7850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207,2128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227,0645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182,2574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175,7705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252,0065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178,8314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227,9809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221,5158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286,3740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227,5217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185,2327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174,9318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93,8162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120,6330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255,1138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119,1268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144,8478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202,1007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545710" w:rsidRPr="006B650F" w:rsidRDefault="00545710" w:rsidP="00545710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129,2208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142,2922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Pr="00364A54" w:rsidRDefault="00545710" w:rsidP="00545710">
            <w:pPr>
              <w:jc w:val="center"/>
            </w:pPr>
            <w:r w:rsidRPr="00364A54">
              <w:t>151,3731</w:t>
            </w:r>
          </w:p>
        </w:tc>
      </w:tr>
      <w:tr w:rsidR="00545710" w:rsidRPr="0030496F" w:rsidTr="00965F01">
        <w:trPr>
          <w:trHeight w:val="340"/>
        </w:trPr>
        <w:tc>
          <w:tcPr>
            <w:tcW w:w="817" w:type="dxa"/>
            <w:vAlign w:val="center"/>
          </w:tcPr>
          <w:p w:rsidR="00545710" w:rsidRPr="006B650F" w:rsidRDefault="00545710" w:rsidP="00545710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545710" w:rsidRPr="006B650F" w:rsidRDefault="00545710" w:rsidP="00545710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710" w:rsidRDefault="00545710" w:rsidP="00545710">
            <w:pPr>
              <w:jc w:val="center"/>
            </w:pPr>
            <w:r w:rsidRPr="00364A54">
              <w:t>126,5145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44" w:rsidRDefault="001F5944">
      <w:r>
        <w:separator/>
      </w:r>
    </w:p>
  </w:endnote>
  <w:endnote w:type="continuationSeparator" w:id="0">
    <w:p w:rsidR="001F5944" w:rsidRDefault="001F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44" w:rsidRDefault="001F5944">
      <w:r>
        <w:separator/>
      </w:r>
    </w:p>
  </w:footnote>
  <w:footnote w:type="continuationSeparator" w:id="0">
    <w:p w:rsidR="001F5944" w:rsidRDefault="001F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1F5944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3D35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3</cp:revision>
  <cp:lastPrinted>2023-01-27T02:48:00Z</cp:lastPrinted>
  <dcterms:created xsi:type="dcterms:W3CDTF">2023-01-27T03:08:00Z</dcterms:created>
  <dcterms:modified xsi:type="dcterms:W3CDTF">2023-02-02T03:10:00Z</dcterms:modified>
</cp:coreProperties>
</file>